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1B597" w14:textId="32682CFF" w:rsidR="004D7FFC" w:rsidRPr="00FC39AB" w:rsidRDefault="00611A92" w:rsidP="005926C0">
      <w:pPr>
        <w:pStyle w:val="Hlavika"/>
        <w:ind w:firstLine="708"/>
      </w:pPr>
      <w:r w:rsidRPr="00FC39AB">
        <w:rPr>
          <w:noProof/>
        </w:rPr>
        <w:drawing>
          <wp:anchor distT="0" distB="0" distL="114300" distR="114300" simplePos="0" relativeHeight="251658240" behindDoc="0" locked="0" layoutInCell="1" allowOverlap="1" wp14:anchorId="3ACCAC5B" wp14:editId="6B850353">
            <wp:simplePos x="0" y="0"/>
            <wp:positionH relativeFrom="margin">
              <wp:align>right</wp:align>
            </wp:positionH>
            <wp:positionV relativeFrom="margin">
              <wp:posOffset>7620</wp:posOffset>
            </wp:positionV>
            <wp:extent cx="1623600" cy="525600"/>
            <wp:effectExtent l="0" t="0" r="0" b="0"/>
            <wp:wrapThrough wrapText="bothSides">
              <wp:wrapPolygon edited="0">
                <wp:start x="5577" y="3918"/>
                <wp:lineTo x="1775" y="5485"/>
                <wp:lineTo x="1521" y="10186"/>
                <wp:lineTo x="2282" y="16455"/>
                <wp:lineTo x="14704" y="16455"/>
                <wp:lineTo x="19521" y="8619"/>
                <wp:lineTo x="19775" y="5485"/>
                <wp:lineTo x="16986" y="3918"/>
                <wp:lineTo x="5577" y="3918"/>
              </wp:wrapPolygon>
            </wp:wrapThrough>
            <wp:docPr id="21" name="Obrázok 21" descr="U:\OROPIS\Nové programové obdobie 2014 -2020\DELIMITACIA Urad PVPIaI\logo UPV SR II\UPV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U:\OROPIS\Nové programové obdobie 2014 -2020\DELIMITACIA Urad PVPIaI\logo UPV SR II\UPVS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050" w:rsidRPr="00FC39AB">
        <w:rPr>
          <w:noProof/>
        </w:rPr>
        <w:drawing>
          <wp:inline distT="0" distB="0" distL="0" distR="0" wp14:anchorId="4D2DBE92" wp14:editId="6EF4C49F">
            <wp:extent cx="1820174" cy="358060"/>
            <wp:effectExtent l="0" t="0" r="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51" cy="39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CD5" w:rsidRPr="00FC39AB">
        <w:rPr>
          <w:noProof/>
        </w:rPr>
        <w:tab/>
      </w:r>
      <w:r w:rsidRPr="00FC39AB">
        <w:rPr>
          <w:noProof/>
        </w:rPr>
        <w:drawing>
          <wp:inline distT="0" distB="0" distL="0" distR="0" wp14:anchorId="777995D3" wp14:editId="379B10CE">
            <wp:extent cx="1327976" cy="606861"/>
            <wp:effectExtent l="0" t="0" r="5715" b="317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74" cy="64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3E78" w14:textId="77777777" w:rsidR="004D7FFC" w:rsidRPr="00FC39AB" w:rsidRDefault="004D7FFC" w:rsidP="004D7FFC">
      <w:pPr>
        <w:spacing w:after="0" w:line="240" w:lineRule="auto"/>
        <w:jc w:val="right"/>
        <w:rPr>
          <w:rFonts w:eastAsia="Times New Roman" w:cs="Times New Roman"/>
          <w:sz w:val="20"/>
          <w:szCs w:val="20"/>
        </w:rPr>
      </w:pPr>
    </w:p>
    <w:p w14:paraId="14A9488E" w14:textId="77777777" w:rsidR="004D7FFC" w:rsidRPr="00FC39AB" w:rsidRDefault="004D7FFC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4D7FFC" w:rsidRPr="00FC39AB" w14:paraId="5E48C9AB" w14:textId="77777777" w:rsidTr="004D7FFC">
        <w:trPr>
          <w:trHeight w:val="724"/>
          <w:jc w:val="center"/>
        </w:trPr>
        <w:tc>
          <w:tcPr>
            <w:tcW w:w="9072" w:type="dxa"/>
            <w:shd w:val="clear" w:color="auto" w:fill="5F497A"/>
            <w:vAlign w:val="center"/>
          </w:tcPr>
          <w:p w14:paraId="3D512396" w14:textId="77777777" w:rsidR="0086215D" w:rsidRPr="00FC39AB" w:rsidRDefault="004D7FFC" w:rsidP="004D7FFC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sk-SK"/>
              </w:rPr>
              <w:t>Zámer národného projektu</w:t>
            </w:r>
            <w:r w:rsidR="0086215D" w:rsidRPr="00FC39A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sk-SK"/>
              </w:rPr>
              <w:t xml:space="preserve"> </w:t>
            </w:r>
          </w:p>
          <w:p w14:paraId="6CCF0D94" w14:textId="77777777" w:rsidR="004D7FFC" w:rsidRPr="00FC39AB" w:rsidRDefault="0086215D" w:rsidP="004D7FF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sk-SK"/>
              </w:rPr>
              <w:t>Operačného programu Integrovaná infraštruktúra Prioritná os 7 Informačná spoločnosť</w:t>
            </w:r>
          </w:p>
        </w:tc>
      </w:tr>
    </w:tbl>
    <w:p w14:paraId="296D9C55" w14:textId="77777777" w:rsidR="004D7FFC" w:rsidRPr="00FC39AB" w:rsidRDefault="004D7FFC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134257" w14:textId="65C9571C" w:rsidR="004D7FFC" w:rsidRPr="00FC39AB" w:rsidRDefault="004D7FFC" w:rsidP="006E644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</w:rPr>
      </w:pPr>
      <w:r w:rsidRPr="00FC39A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národného projektu:</w:t>
      </w:r>
      <w:r w:rsidR="00C104A5" w:rsidRPr="00FC39A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4F6EF5" w:rsidRPr="00FC39AB">
        <w:rPr>
          <w:rFonts w:ascii="Times New Roman" w:hAnsi="Times New Roman"/>
          <w:b/>
          <w:sz w:val="24"/>
        </w:rPr>
        <w:t>Zefektívnenie štátneho dozoru v starostlivosti o životné prostredie</w:t>
      </w:r>
    </w:p>
    <w:p w14:paraId="16E4FF2A" w14:textId="77777777" w:rsidR="004D7FFC" w:rsidRPr="00FC39AB" w:rsidRDefault="004D7FFC" w:rsidP="004D7FFC">
      <w:pPr>
        <w:spacing w:after="0" w:line="240" w:lineRule="auto"/>
        <w:rPr>
          <w:rFonts w:ascii="Times New Roman" w:hAnsi="Times New Roman"/>
          <w:sz w:val="24"/>
        </w:rPr>
      </w:pPr>
    </w:p>
    <w:p w14:paraId="6A1DB5F6" w14:textId="77777777" w:rsidR="004D7FFC" w:rsidRPr="00FC39AB" w:rsidRDefault="004D7FFC" w:rsidP="004D7FF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Zdôvodnite čo najpodrobnejšie prečo nemôže byť projekt realizovaný prostredníctvom výzvy na predkladanie žiadostí o NFP? </w:t>
      </w:r>
    </w:p>
    <w:p w14:paraId="10DA980E" w14:textId="77777777" w:rsidR="004D7FFC" w:rsidRPr="00FC39AB" w:rsidRDefault="004D7FFC" w:rsidP="004D7FFC">
      <w:pPr>
        <w:spacing w:after="0" w:line="240" w:lineRule="auto"/>
        <w:ind w:left="284"/>
        <w:jc w:val="both"/>
        <w:rPr>
          <w:rFonts w:ascii="Times New Roman" w:eastAsia="Times New Roman" w:hAnsi="Times New Roman" w:cs="Calibri"/>
          <w:i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Calibri"/>
          <w:i/>
          <w:sz w:val="24"/>
          <w:szCs w:val="24"/>
          <w:lang w:eastAsia="sk-SK"/>
        </w:rPr>
        <w:t>(napr. porovnanie s realizáciou prostredníctvom dopytovo orientovaného projektu vzhľadom na efektívnejší spôsob napĺňania cieľov OP, efektívnejšie a hospodárnejšie využitie finančných prostriedkov)</w:t>
      </w:r>
    </w:p>
    <w:p w14:paraId="2D0803F7" w14:textId="77777777" w:rsidR="00866B60" w:rsidRPr="00FC39AB" w:rsidRDefault="00866B60" w:rsidP="00675DCA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sk-SK"/>
        </w:rPr>
      </w:pPr>
    </w:p>
    <w:p w14:paraId="61BB22CF" w14:textId="48E3CBB0" w:rsidR="004D7FFC" w:rsidRPr="00FC39AB" w:rsidRDefault="00BD2854" w:rsidP="00EC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Navrhované riešenie reformy štátneho dozoru v oblasti životného prostredia bude úspešné len</w:t>
      </w:r>
      <w:r w:rsidR="00EC7CD5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za podmienky komplexného pokrytia (</w:t>
      </w:r>
      <w:proofErr w:type="spellStart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end-to-end</w:t>
      </w:r>
      <w:proofErr w:type="spellEnd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) rozhodujúcich procesov inšpekčnej činnosti</w:t>
      </w:r>
      <w:r w:rsidR="004F6EF5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inšpekcie životného prostredia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F6EF5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aj „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SIŽP</w:t>
      </w:r>
      <w:r w:rsidR="004F6EF5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ich </w:t>
      </w:r>
      <w:proofErr w:type="spellStart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redizajnu</w:t>
      </w:r>
      <w:proofErr w:type="spellEnd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</w:t>
      </w:r>
      <w:r w:rsidR="004F6EF5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zameraním na</w:t>
      </w:r>
      <w:r w:rsidR="00EC7CD5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optimalizáciu a elektronizáciu, vrátene vybavenia určených zamestnancov koncovými zariadeniami. Ide o unikátne a komplexné riešenie. Nie je preto možne dosiahnuť tieto ciele čiastkovými zmenami financovanými zo</w:t>
      </w:r>
      <w:r w:rsidR="004F6EF5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všeobecných výziev.</w:t>
      </w:r>
    </w:p>
    <w:p w14:paraId="3C958653" w14:textId="77777777" w:rsidR="00EC6375" w:rsidRPr="00FC39AB" w:rsidRDefault="00EC6375" w:rsidP="00EC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3350CA" w14:textId="77777777" w:rsidR="004D7FFC" w:rsidRPr="00FC39AB" w:rsidRDefault="004D7FFC" w:rsidP="004D7FF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Calibri" w:hAnsi="Times New Roman" w:cs="Times New Roman"/>
          <w:bCs/>
          <w:iCs/>
          <w:sz w:val="24"/>
          <w:szCs w:val="24"/>
          <w:lang w:eastAsia="sk-SK"/>
        </w:rPr>
        <w:t>Príslušnosť národného projektu k relevantnej časti operačného programu</w:t>
      </w:r>
    </w:p>
    <w:p w14:paraId="24DF4645" w14:textId="77777777" w:rsidR="00E17592" w:rsidRPr="00FC39AB" w:rsidRDefault="00E17592" w:rsidP="00E17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4D7FFC" w:rsidRPr="00FC39AB" w14:paraId="5B7A7912" w14:textId="77777777" w:rsidTr="004D7FFC">
        <w:tc>
          <w:tcPr>
            <w:tcW w:w="3823" w:type="dxa"/>
            <w:shd w:val="clear" w:color="auto" w:fill="CCC0D9"/>
          </w:tcPr>
          <w:p w14:paraId="42AF3D4F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Prioritná os</w:t>
            </w:r>
          </w:p>
        </w:tc>
        <w:tc>
          <w:tcPr>
            <w:tcW w:w="5239" w:type="dxa"/>
          </w:tcPr>
          <w:p w14:paraId="57CFD711" w14:textId="77777777" w:rsidR="004D7FFC" w:rsidRPr="00FC39AB" w:rsidRDefault="00866B60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Informačná spoločnosť</w:t>
            </w:r>
          </w:p>
        </w:tc>
      </w:tr>
      <w:tr w:rsidR="004D7FFC" w:rsidRPr="00FC39AB" w14:paraId="7D0FAB2E" w14:textId="77777777" w:rsidTr="004D7FFC">
        <w:tc>
          <w:tcPr>
            <w:tcW w:w="3823" w:type="dxa"/>
            <w:shd w:val="clear" w:color="auto" w:fill="CCC0D9"/>
          </w:tcPr>
          <w:p w14:paraId="048395D6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Investičná priorita </w:t>
            </w:r>
          </w:p>
        </w:tc>
        <w:tc>
          <w:tcPr>
            <w:tcW w:w="5239" w:type="dxa"/>
          </w:tcPr>
          <w:p w14:paraId="4717F49B" w14:textId="6E26237E" w:rsidR="004D7FFC" w:rsidRPr="00FC39AB" w:rsidRDefault="00866B60" w:rsidP="00675D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Posilnenie aplikácií IKT v rámci elektronickej štátnej správy, elektronického vzdelávania, elektronickej inklúzie, elektronickej kultúry a</w:t>
            </w:r>
            <w:r w:rsidR="006E644C" w:rsidRPr="00FC3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elektronického zdravotníctva</w:t>
            </w:r>
          </w:p>
        </w:tc>
      </w:tr>
      <w:tr w:rsidR="004D7FFC" w:rsidRPr="00FC39AB" w14:paraId="641C3122" w14:textId="77777777" w:rsidTr="004D7FFC">
        <w:tc>
          <w:tcPr>
            <w:tcW w:w="3823" w:type="dxa"/>
            <w:shd w:val="clear" w:color="auto" w:fill="CCC0D9"/>
          </w:tcPr>
          <w:p w14:paraId="5D2711D9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Špecifický cieľ</w:t>
            </w:r>
          </w:p>
        </w:tc>
        <w:tc>
          <w:tcPr>
            <w:tcW w:w="5239" w:type="dxa"/>
          </w:tcPr>
          <w:p w14:paraId="1AED6056" w14:textId="7798F09E" w:rsidR="00C104A5" w:rsidRPr="00FC39AB" w:rsidRDefault="006E644C" w:rsidP="006E644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C39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7.</w:t>
            </w:r>
            <w:r w:rsidR="00E6458B" w:rsidRPr="00FC39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  <w:r w:rsidRPr="00FC39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765DBE" w:rsidRPr="00FC39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Umožnenie modernizácie a racionalizácie verejnej správy IKT prostriedkami</w:t>
            </w:r>
          </w:p>
          <w:p w14:paraId="3EE4A1B3" w14:textId="6F5CDF89" w:rsidR="00023DA8" w:rsidRPr="00FC39AB" w:rsidRDefault="00023DA8" w:rsidP="006E644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7.4 Zvýšenie kvality, štandardu a dostupnosti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eGovernment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služieb pre občanov</w:t>
            </w:r>
          </w:p>
        </w:tc>
      </w:tr>
      <w:tr w:rsidR="004D7FFC" w:rsidRPr="00FC39AB" w14:paraId="16CB8AE5" w14:textId="77777777" w:rsidTr="004D7FFC">
        <w:tc>
          <w:tcPr>
            <w:tcW w:w="3823" w:type="dxa"/>
            <w:shd w:val="clear" w:color="auto" w:fill="CCC0D9"/>
          </w:tcPr>
          <w:p w14:paraId="2895CEC7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Miesto realizácie projektu (na úrovni kraja)</w:t>
            </w:r>
          </w:p>
        </w:tc>
        <w:tc>
          <w:tcPr>
            <w:tcW w:w="5239" w:type="dxa"/>
          </w:tcPr>
          <w:p w14:paraId="162A7193" w14:textId="77777777" w:rsidR="006E644C" w:rsidRPr="00FC39AB" w:rsidRDefault="006E644C" w:rsidP="006E6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Banskobystrický kraj</w:t>
            </w:r>
          </w:p>
          <w:p w14:paraId="7553E09A" w14:textId="77777777" w:rsidR="006E644C" w:rsidRPr="00FC39AB" w:rsidRDefault="006E644C" w:rsidP="006E6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Bratislavský kraj</w:t>
            </w:r>
          </w:p>
          <w:p w14:paraId="2DDC69BC" w14:textId="77777777" w:rsidR="006E644C" w:rsidRPr="00FC39AB" w:rsidRDefault="006E644C" w:rsidP="006E6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Nitriansky kraj</w:t>
            </w:r>
          </w:p>
          <w:p w14:paraId="7BD11973" w14:textId="77777777" w:rsidR="006E644C" w:rsidRPr="00FC39AB" w:rsidRDefault="006E644C" w:rsidP="006E6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Košický kraj</w:t>
            </w:r>
          </w:p>
          <w:p w14:paraId="1FCA4DE9" w14:textId="77777777" w:rsidR="00ED0A0D" w:rsidRPr="00FC39AB" w:rsidRDefault="00ED0A0D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Prešovský kraj</w:t>
            </w:r>
          </w:p>
          <w:p w14:paraId="2F1BA44F" w14:textId="77777777" w:rsidR="00ED0A0D" w:rsidRPr="00FC39AB" w:rsidRDefault="00ED0A0D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Trenčiansky kraj</w:t>
            </w:r>
          </w:p>
          <w:p w14:paraId="527B3B2C" w14:textId="77777777" w:rsidR="00ED0A0D" w:rsidRPr="00FC39AB" w:rsidRDefault="00ED0A0D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Trnavský kraj</w:t>
            </w:r>
          </w:p>
          <w:p w14:paraId="5C99E3F8" w14:textId="77777777" w:rsidR="004D7FFC" w:rsidRPr="00FC39AB" w:rsidRDefault="00ED0A0D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Žilinský kraj</w:t>
            </w:r>
          </w:p>
        </w:tc>
      </w:tr>
      <w:tr w:rsidR="004D7FFC" w:rsidRPr="00FC39AB" w14:paraId="05AD1576" w14:textId="77777777" w:rsidTr="004D7FFC">
        <w:tc>
          <w:tcPr>
            <w:tcW w:w="3823" w:type="dxa"/>
            <w:shd w:val="clear" w:color="auto" w:fill="CCC0D9"/>
          </w:tcPr>
          <w:p w14:paraId="199C38F4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Identifikácia hlavných cieľových skupín (ak relevantné)</w:t>
            </w:r>
          </w:p>
        </w:tc>
        <w:tc>
          <w:tcPr>
            <w:tcW w:w="5239" w:type="dxa"/>
          </w:tcPr>
          <w:p w14:paraId="1941A03D" w14:textId="77777777" w:rsidR="00C863B8" w:rsidRPr="00FC39AB" w:rsidRDefault="00410A31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="00C863B8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nštitúcie a subjekty verejnej správy</w:t>
            </w:r>
          </w:p>
        </w:tc>
      </w:tr>
    </w:tbl>
    <w:p w14:paraId="06F98CE0" w14:textId="77777777" w:rsidR="00E17592" w:rsidRPr="00FC39AB" w:rsidRDefault="00E17592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55CEFB" w14:textId="77777777" w:rsidR="002076B4" w:rsidRPr="00FC39AB" w:rsidRDefault="002076B4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1944E3" w14:textId="77777777" w:rsidR="00EC7CD5" w:rsidRPr="00FC39AB" w:rsidRDefault="00EC7CD5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8BF356" w14:textId="1168FDEA" w:rsidR="004D7FFC" w:rsidRPr="00FC39AB" w:rsidRDefault="004D7FFC" w:rsidP="00410A3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Prijímateľ</w:t>
      </w:r>
      <w:r w:rsidRPr="00FC39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footnoteReference w:id="2"/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národného projektu</w:t>
      </w:r>
      <w:r w:rsidR="00303612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279B" w:rsidRPr="00FC39AB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Slovenská inšpekcia životného</w:t>
      </w:r>
      <w:r w:rsidR="00237304" w:rsidRPr="00FC39AB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prostredia</w:t>
      </w:r>
    </w:p>
    <w:p w14:paraId="74031A7B" w14:textId="77777777" w:rsidR="00410A31" w:rsidRPr="00FC39AB" w:rsidRDefault="00410A31" w:rsidP="00410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4D7FFC" w:rsidRPr="00FC39AB" w14:paraId="27A7390B" w14:textId="77777777" w:rsidTr="004D7FFC">
        <w:tc>
          <w:tcPr>
            <w:tcW w:w="3823" w:type="dxa"/>
            <w:shd w:val="clear" w:color="auto" w:fill="CCC0D9"/>
          </w:tcPr>
          <w:p w14:paraId="361BE4A2" w14:textId="0CFC1501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Dôvod určenia prijímateľa národného projektu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id="3"/>
            </w:r>
          </w:p>
        </w:tc>
        <w:tc>
          <w:tcPr>
            <w:tcW w:w="5239" w:type="dxa"/>
          </w:tcPr>
          <w:p w14:paraId="671EEFBE" w14:textId="77777777" w:rsidR="00675DCA" w:rsidRPr="00FC39AB" w:rsidRDefault="00675DCA" w:rsidP="00675D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Hlavnými dôvodmi pre určenie prijímateľa národného projektu sú:</w:t>
            </w:r>
          </w:p>
          <w:p w14:paraId="1635C3DA" w14:textId="205FE3CB" w:rsidR="00B07DBA" w:rsidRPr="00FC39AB" w:rsidRDefault="006B50A5" w:rsidP="004F6EF5">
            <w:pPr>
              <w:pStyle w:val="Odsekzoznamu"/>
              <w:numPr>
                <w:ilvl w:val="0"/>
                <w:numId w:val="9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SIŽP je špecializovaným orgánom štátnej správy s výlučnými zákonnými kompetenciami pre</w:t>
            </w:r>
            <w:r w:rsidR="004F6EF5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inšpekčnú činnosť v životnom prostredí, t.</w:t>
            </w:r>
            <w:r w:rsidR="004F6EF5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j. môže byť jediným prijímateľom pre reformný projekt v oblasti štátneho dozoru v životnom prostredí</w:t>
            </w:r>
            <w:r w:rsidRPr="00FC39A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4D7FFC" w:rsidRPr="00FC39AB" w14:paraId="1F8DC116" w14:textId="77777777" w:rsidTr="004D7FFC">
        <w:tc>
          <w:tcPr>
            <w:tcW w:w="3823" w:type="dxa"/>
            <w:shd w:val="clear" w:color="auto" w:fill="CCC0D9"/>
          </w:tcPr>
          <w:p w14:paraId="55443356" w14:textId="7DE96865" w:rsidR="004D7FFC" w:rsidRPr="00FC39AB" w:rsidRDefault="004D7FFC" w:rsidP="0048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Má prijímateľ osobitné, jedinečné kompetencie na implementáciu aktivít národného projektu priamo zo</w:t>
            </w:r>
            <w:r w:rsidR="0048759D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zákona, osobitných právnych predpisov, resp. je uvedený priamo v</w:t>
            </w:r>
            <w:r w:rsidR="0048759D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príslušnom operačnom programe? </w:t>
            </w:r>
          </w:p>
        </w:tc>
        <w:tc>
          <w:tcPr>
            <w:tcW w:w="5239" w:type="dxa"/>
          </w:tcPr>
          <w:p w14:paraId="34724A00" w14:textId="337AE0A9" w:rsidR="004D7FFC" w:rsidRPr="00FC39AB" w:rsidRDefault="00775081" w:rsidP="00293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</w:t>
            </w:r>
            <w:r w:rsidR="00E41152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ie.</w:t>
            </w:r>
          </w:p>
        </w:tc>
      </w:tr>
      <w:tr w:rsidR="004D7FFC" w:rsidRPr="00FC39AB" w14:paraId="7BC4CCFD" w14:textId="77777777" w:rsidTr="004D7FFC">
        <w:tc>
          <w:tcPr>
            <w:tcW w:w="3823" w:type="dxa"/>
            <w:shd w:val="clear" w:color="auto" w:fill="CCC0D9"/>
          </w:tcPr>
          <w:p w14:paraId="1C352FBA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meno/názov (aj názov sekcie ak relevantné)</w:t>
            </w:r>
          </w:p>
        </w:tc>
        <w:tc>
          <w:tcPr>
            <w:tcW w:w="5239" w:type="dxa"/>
          </w:tcPr>
          <w:p w14:paraId="3F74B807" w14:textId="2B88F1C8" w:rsidR="004D7FFC" w:rsidRPr="00FC39AB" w:rsidRDefault="005B2288" w:rsidP="00675D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Slovenská inšpekcia životného prostredia</w:t>
            </w:r>
          </w:p>
        </w:tc>
      </w:tr>
      <w:tr w:rsidR="004D7FFC" w:rsidRPr="00FC39AB" w14:paraId="7BAB7AEC" w14:textId="77777777" w:rsidTr="004D7FFC">
        <w:tc>
          <w:tcPr>
            <w:tcW w:w="3823" w:type="dxa"/>
            <w:shd w:val="clear" w:color="auto" w:fill="CCC0D9"/>
          </w:tcPr>
          <w:p w14:paraId="47F90E0E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</w:t>
            </w:r>
          </w:p>
        </w:tc>
        <w:tc>
          <w:tcPr>
            <w:tcW w:w="5239" w:type="dxa"/>
          </w:tcPr>
          <w:p w14:paraId="389D0A93" w14:textId="7996919F" w:rsidR="004D7FFC" w:rsidRPr="00FC39AB" w:rsidRDefault="00142B4B" w:rsidP="00142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Grösslingová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</w:t>
            </w:r>
            <w:r w:rsidR="00F4446C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8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F4446C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1 0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48759D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  <w:r w:rsidR="00F4446C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  <w:r w:rsidR="0048759D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ratislava</w:t>
            </w:r>
          </w:p>
        </w:tc>
      </w:tr>
      <w:tr w:rsidR="004D7FFC" w:rsidRPr="00FC39AB" w14:paraId="6515553F" w14:textId="77777777" w:rsidTr="004D7FFC">
        <w:tc>
          <w:tcPr>
            <w:tcW w:w="3823" w:type="dxa"/>
            <w:shd w:val="clear" w:color="auto" w:fill="CCC0D9"/>
          </w:tcPr>
          <w:p w14:paraId="7C97A18C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IČO</w:t>
            </w:r>
          </w:p>
        </w:tc>
        <w:tc>
          <w:tcPr>
            <w:tcW w:w="5239" w:type="dxa"/>
          </w:tcPr>
          <w:p w14:paraId="601D74C3" w14:textId="4CC109B5" w:rsidR="004D7FFC" w:rsidRPr="00FC39AB" w:rsidRDefault="0048759D" w:rsidP="0048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00 156 906</w:t>
            </w:r>
          </w:p>
        </w:tc>
      </w:tr>
    </w:tbl>
    <w:p w14:paraId="7E744E1D" w14:textId="77777777" w:rsidR="004D7FFC" w:rsidRPr="00FC39AB" w:rsidRDefault="004D7FFC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E5B4E2" w14:textId="77777777" w:rsidR="004D7FFC" w:rsidRPr="00FC39AB" w:rsidRDefault="004D7FFC" w:rsidP="004D7FF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Partner, ktorý sa bude zúčastňovať realizácie národného projektu (ak relevantné)</w:t>
      </w:r>
    </w:p>
    <w:p w14:paraId="5D590FCD" w14:textId="77777777" w:rsidR="00410A31" w:rsidRPr="00FC39AB" w:rsidRDefault="00410A31" w:rsidP="00410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4D7FFC" w:rsidRPr="00FC39AB" w14:paraId="35098B9C" w14:textId="77777777" w:rsidTr="004D7FFC">
        <w:tc>
          <w:tcPr>
            <w:tcW w:w="3823" w:type="dxa"/>
            <w:shd w:val="clear" w:color="auto" w:fill="CCC0D9"/>
          </w:tcPr>
          <w:p w14:paraId="3CC0132D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Zdôvodnenie potreby partnera národného projektu (ak relevantné)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id="4"/>
            </w:r>
          </w:p>
        </w:tc>
        <w:tc>
          <w:tcPr>
            <w:tcW w:w="5239" w:type="dxa"/>
          </w:tcPr>
          <w:p w14:paraId="380BBAC9" w14:textId="63B5EC68" w:rsidR="00B441EE" w:rsidRPr="00FC39AB" w:rsidRDefault="001D40E3" w:rsidP="004875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Úrad podpredsedu vlády SR pre investície a informatizáciu bude partnerom na projekte z dôvodu zabezpečenia riadenia kvality projektu v súlade so štandardami podľa výnosu MF SR č. 55/2014 o štandardoch pre informačné systémy verejnej správy v znení neskorších predpisov a zabezpečenie publicity výstupov projektu.</w:t>
            </w:r>
          </w:p>
        </w:tc>
      </w:tr>
      <w:tr w:rsidR="004D7FFC" w:rsidRPr="00FC39AB" w14:paraId="3827F3ED" w14:textId="77777777" w:rsidTr="004D7FFC">
        <w:tc>
          <w:tcPr>
            <w:tcW w:w="3823" w:type="dxa"/>
            <w:shd w:val="clear" w:color="auto" w:fill="CCC0D9"/>
          </w:tcPr>
          <w:p w14:paraId="4A3DAA4D" w14:textId="6538801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Kritériá pre výber partnera 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id="5"/>
            </w:r>
          </w:p>
        </w:tc>
        <w:tc>
          <w:tcPr>
            <w:tcW w:w="5239" w:type="dxa"/>
          </w:tcPr>
          <w:p w14:paraId="3ABB2284" w14:textId="3305FA10" w:rsidR="004D7FFC" w:rsidRPr="00FC39AB" w:rsidRDefault="00F13172" w:rsidP="00E31C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Vyplýva priamo z Operačného programu Integrovaná infraštruktúra.</w:t>
            </w:r>
          </w:p>
        </w:tc>
      </w:tr>
      <w:tr w:rsidR="004D7FFC" w:rsidRPr="00FC39AB" w14:paraId="5DAFD946" w14:textId="77777777" w:rsidTr="004D7FFC">
        <w:tc>
          <w:tcPr>
            <w:tcW w:w="3823" w:type="dxa"/>
            <w:shd w:val="clear" w:color="auto" w:fill="CCC0D9"/>
          </w:tcPr>
          <w:p w14:paraId="6FC599FF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Má partner monopolné postavenie 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na implementáciu týchto aktivít? (áno/nie) Ak áno, na akom základe?</w:t>
            </w:r>
          </w:p>
        </w:tc>
        <w:tc>
          <w:tcPr>
            <w:tcW w:w="5239" w:type="dxa"/>
          </w:tcPr>
          <w:p w14:paraId="0AB1AFBF" w14:textId="0878423A" w:rsidR="004D7FFC" w:rsidRPr="00FC39AB" w:rsidRDefault="00F13172" w:rsidP="004875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 xml:space="preserve">Áno. Z dôvodu rozšírenia a upevnenia kompetencií ÚPPVII ako orgánu zodpovedného za riadenie informatizácie verejnej správy ukotvených novelizáciou „kompetenčného“ zákona č. 171/2016 Z. z. a novelizáciou zákona č. 305/2013 Z. z. o elektronickej podobe výkonu pôsobnosti orgánov verejnej moci o zmene a doplnení niektorých </w:t>
            </w:r>
            <w:r w:rsidRPr="00FC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zákonov (zákon o </w:t>
            </w:r>
            <w:proofErr w:type="spellStart"/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e-Governmente</w:t>
            </w:r>
            <w:proofErr w:type="spellEnd"/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D7FFC" w:rsidRPr="00FC39AB" w14:paraId="3D43BEDA" w14:textId="77777777" w:rsidTr="004D7FFC">
        <w:tc>
          <w:tcPr>
            <w:tcW w:w="3823" w:type="dxa"/>
            <w:shd w:val="clear" w:color="auto" w:fill="CCC0D9"/>
          </w:tcPr>
          <w:p w14:paraId="3E2F36AF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Obchodné meno/názov</w:t>
            </w:r>
          </w:p>
        </w:tc>
        <w:tc>
          <w:tcPr>
            <w:tcW w:w="5239" w:type="dxa"/>
          </w:tcPr>
          <w:p w14:paraId="3451B2C3" w14:textId="20754674" w:rsidR="004D7FFC" w:rsidRPr="00FC39AB" w:rsidRDefault="00F13172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Úrad podpredsedu vlády SR pre investície a informatizáciu</w:t>
            </w:r>
          </w:p>
        </w:tc>
      </w:tr>
      <w:tr w:rsidR="00182D0F" w:rsidRPr="00FC39AB" w14:paraId="7EF6F106" w14:textId="77777777" w:rsidTr="004D7FFC">
        <w:tc>
          <w:tcPr>
            <w:tcW w:w="3823" w:type="dxa"/>
            <w:shd w:val="clear" w:color="auto" w:fill="CCC0D9"/>
          </w:tcPr>
          <w:p w14:paraId="6AFD8D21" w14:textId="77777777" w:rsidR="00182D0F" w:rsidRPr="00FC39AB" w:rsidRDefault="00182D0F" w:rsidP="00182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</w:t>
            </w:r>
          </w:p>
        </w:tc>
        <w:tc>
          <w:tcPr>
            <w:tcW w:w="5239" w:type="dxa"/>
          </w:tcPr>
          <w:p w14:paraId="1C1C2653" w14:textId="081211D5" w:rsidR="00182D0F" w:rsidRPr="00FC39AB" w:rsidRDefault="00F13172" w:rsidP="00ED71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Štefánikova 15, 811 05</w:t>
            </w:r>
            <w:r w:rsidR="00ED7189" w:rsidRPr="00FC39A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</w:tc>
      </w:tr>
      <w:tr w:rsidR="004D7FFC" w:rsidRPr="00FC39AB" w14:paraId="571BF9DD" w14:textId="77777777" w:rsidTr="004D7FFC">
        <w:tc>
          <w:tcPr>
            <w:tcW w:w="3823" w:type="dxa"/>
            <w:shd w:val="clear" w:color="auto" w:fill="CCC0D9"/>
          </w:tcPr>
          <w:p w14:paraId="62898031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IČO</w:t>
            </w:r>
          </w:p>
        </w:tc>
        <w:tc>
          <w:tcPr>
            <w:tcW w:w="5239" w:type="dxa"/>
          </w:tcPr>
          <w:p w14:paraId="5007D24F" w14:textId="417E0930" w:rsidR="004D7FFC" w:rsidRPr="00FC39AB" w:rsidRDefault="00F13172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50349287</w:t>
            </w:r>
          </w:p>
        </w:tc>
      </w:tr>
    </w:tbl>
    <w:p w14:paraId="674D72F7" w14:textId="77777777" w:rsidR="004D7FFC" w:rsidRPr="00FC39AB" w:rsidRDefault="004D7FFC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 prípade viacerých partnerov, doplňte údaje za každého partnera.</w:t>
      </w:r>
    </w:p>
    <w:p w14:paraId="0E2F3FA9" w14:textId="77777777" w:rsidR="00E17592" w:rsidRPr="00FC39AB" w:rsidRDefault="00E17592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841E79" w14:textId="77777777" w:rsidR="004D7FFC" w:rsidRPr="00FC39AB" w:rsidRDefault="004D7FFC" w:rsidP="004D7FF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Predpokladaný časový rámec</w:t>
      </w:r>
    </w:p>
    <w:p w14:paraId="52050F09" w14:textId="77777777" w:rsidR="002076B4" w:rsidRPr="00FC39AB" w:rsidRDefault="002076B4" w:rsidP="002076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91CD0A" w14:textId="3C061FF7" w:rsidR="004D7FFC" w:rsidRPr="00FC39AB" w:rsidRDefault="004D7FFC" w:rsidP="002076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Dátumy v tabuľke nižšie nie sú záväzné, ale predstavujú vhodný a </w:t>
      </w:r>
      <w:proofErr w:type="spellStart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žiadúci</w:t>
      </w:r>
      <w:proofErr w:type="spellEnd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časový rámec</w:t>
      </w:r>
      <w:r w:rsidR="002076B4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="002076B4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procesov, vedúcich k</w:t>
      </w:r>
      <w:r w:rsidR="005438E8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realizácii národného projektu.</w:t>
      </w:r>
    </w:p>
    <w:p w14:paraId="45A9F9C1" w14:textId="77777777" w:rsidR="00E17592" w:rsidRPr="00FC39AB" w:rsidRDefault="00E17592" w:rsidP="00E17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7175E3" w:rsidRPr="00FC39AB" w14:paraId="5CFF3C6B" w14:textId="77777777" w:rsidTr="004D7FFC">
        <w:tc>
          <w:tcPr>
            <w:tcW w:w="3823" w:type="dxa"/>
            <w:shd w:val="clear" w:color="auto" w:fill="CCC0D9"/>
          </w:tcPr>
          <w:p w14:paraId="5673E49A" w14:textId="77777777" w:rsidR="007175E3" w:rsidRPr="00FC39AB" w:rsidRDefault="007175E3" w:rsidP="00717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vyhlásenia vyzvania vo formáte Mesiac/Rok</w:t>
            </w:r>
          </w:p>
        </w:tc>
        <w:tc>
          <w:tcPr>
            <w:tcW w:w="5239" w:type="dxa"/>
          </w:tcPr>
          <w:p w14:paraId="3715DE55" w14:textId="0E665E70" w:rsidR="007175E3" w:rsidRPr="00FC39AB" w:rsidRDefault="007175E3" w:rsidP="00717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04/2019</w:t>
            </w:r>
          </w:p>
        </w:tc>
      </w:tr>
      <w:tr w:rsidR="007175E3" w:rsidRPr="00FC39AB" w14:paraId="2D0FEA62" w14:textId="77777777" w:rsidTr="004D7FFC">
        <w:tc>
          <w:tcPr>
            <w:tcW w:w="3823" w:type="dxa"/>
            <w:shd w:val="clear" w:color="auto" w:fill="CCC0D9"/>
          </w:tcPr>
          <w:p w14:paraId="46BDB108" w14:textId="77777777" w:rsidR="007175E3" w:rsidRPr="00FC39AB" w:rsidRDefault="007175E3" w:rsidP="00717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Uveďte plánovaný štvrťrok podpísania zmluvy o NFP s prijímateľom </w:t>
            </w:r>
          </w:p>
        </w:tc>
        <w:tc>
          <w:tcPr>
            <w:tcW w:w="5239" w:type="dxa"/>
          </w:tcPr>
          <w:p w14:paraId="763D69C7" w14:textId="5B66BADD" w:rsidR="007175E3" w:rsidRPr="00FC39AB" w:rsidRDefault="007175E3" w:rsidP="00717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Q2/2019</w:t>
            </w:r>
          </w:p>
        </w:tc>
      </w:tr>
      <w:tr w:rsidR="007175E3" w:rsidRPr="00FC39AB" w14:paraId="615A7598" w14:textId="77777777" w:rsidTr="004D7FFC">
        <w:tc>
          <w:tcPr>
            <w:tcW w:w="3823" w:type="dxa"/>
            <w:shd w:val="clear" w:color="auto" w:fill="CCC0D9"/>
          </w:tcPr>
          <w:p w14:paraId="569F8B71" w14:textId="77777777" w:rsidR="007175E3" w:rsidRPr="00FC39AB" w:rsidRDefault="007175E3" w:rsidP="00717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Uveďte plánovaný štvrťrok  spustenia realizácie projektu </w:t>
            </w:r>
          </w:p>
        </w:tc>
        <w:tc>
          <w:tcPr>
            <w:tcW w:w="5239" w:type="dxa"/>
          </w:tcPr>
          <w:p w14:paraId="41B53FB9" w14:textId="3274326C" w:rsidR="007175E3" w:rsidRPr="00FC39AB" w:rsidRDefault="007175E3" w:rsidP="00717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Q4/2019</w:t>
            </w:r>
          </w:p>
        </w:tc>
      </w:tr>
      <w:tr w:rsidR="004D7FFC" w:rsidRPr="00FC39AB" w14:paraId="3145089E" w14:textId="77777777" w:rsidTr="004D7FFC">
        <w:tc>
          <w:tcPr>
            <w:tcW w:w="3823" w:type="dxa"/>
            <w:shd w:val="clear" w:color="auto" w:fill="CCC0D9"/>
          </w:tcPr>
          <w:p w14:paraId="665E3CCE" w14:textId="0405D3EB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Predpokladaná doba </w:t>
            </w:r>
            <w:r w:rsidR="00E17592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realizácie projektu v mesiacoch</w:t>
            </w:r>
          </w:p>
        </w:tc>
        <w:tc>
          <w:tcPr>
            <w:tcW w:w="5239" w:type="dxa"/>
          </w:tcPr>
          <w:p w14:paraId="484F9CF4" w14:textId="7C0C9398" w:rsidR="004D7FFC" w:rsidRPr="00FC39AB" w:rsidRDefault="00E17592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</w:tr>
    </w:tbl>
    <w:p w14:paraId="40687648" w14:textId="77777777" w:rsidR="004D7FFC" w:rsidRPr="00FC39AB" w:rsidRDefault="004D7FFC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8E7CAE" w14:textId="77777777" w:rsidR="004D7FFC" w:rsidRPr="00FC39AB" w:rsidRDefault="004D7FFC" w:rsidP="004D7FF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 rámec</w:t>
      </w:r>
    </w:p>
    <w:p w14:paraId="2F51CE7E" w14:textId="77777777" w:rsidR="00410A31" w:rsidRPr="00FC39AB" w:rsidRDefault="00410A31" w:rsidP="00410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4D7FFC" w:rsidRPr="00FC39AB" w14:paraId="6130C5FA" w14:textId="77777777" w:rsidTr="004D7FFC">
        <w:tc>
          <w:tcPr>
            <w:tcW w:w="3823" w:type="dxa"/>
            <w:shd w:val="clear" w:color="auto" w:fill="CCC0D9"/>
          </w:tcPr>
          <w:p w14:paraId="706B82DA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Alokácia na vyzvanie (zdroj EÚ a ŠR)</w:t>
            </w:r>
          </w:p>
        </w:tc>
        <w:tc>
          <w:tcPr>
            <w:tcW w:w="5239" w:type="dxa"/>
          </w:tcPr>
          <w:p w14:paraId="6787D62F" w14:textId="0D2F91DD" w:rsidR="004D7FFC" w:rsidRPr="00FC39AB" w:rsidRDefault="006C5E8F" w:rsidP="00DA0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8B15E8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DA013E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  <w:r w:rsidR="008B15E8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A013E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367</w:t>
            </w:r>
            <w:r w:rsidR="00756D18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  <w:r w:rsidR="00A558A2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</w:tr>
      <w:tr w:rsidR="004D7FFC" w:rsidRPr="00FC39AB" w14:paraId="01C7D912" w14:textId="77777777" w:rsidTr="004D7FFC">
        <w:tc>
          <w:tcPr>
            <w:tcW w:w="3823" w:type="dxa"/>
            <w:shd w:val="clear" w:color="auto" w:fill="CCC0D9"/>
          </w:tcPr>
          <w:p w14:paraId="27280028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Celkové oprávnené výdavky projektu</w:t>
            </w:r>
          </w:p>
        </w:tc>
        <w:tc>
          <w:tcPr>
            <w:tcW w:w="5239" w:type="dxa"/>
          </w:tcPr>
          <w:p w14:paraId="449ACD6E" w14:textId="6747A953" w:rsidR="004D7FFC" w:rsidRPr="00FC39AB" w:rsidRDefault="006C5E8F" w:rsidP="00DA0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D66799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DA013E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  <w:r w:rsidR="00D66799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A013E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367</w:t>
            </w:r>
            <w:r w:rsidR="00756D18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  <w:r w:rsidR="005D065B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EUR</w:t>
            </w:r>
          </w:p>
        </w:tc>
      </w:tr>
      <w:tr w:rsidR="004D7FFC" w:rsidRPr="00FC39AB" w14:paraId="4B727076" w14:textId="77777777" w:rsidTr="004D7FFC">
        <w:tc>
          <w:tcPr>
            <w:tcW w:w="3823" w:type="dxa"/>
            <w:shd w:val="clear" w:color="auto" w:fill="CCC0D9"/>
          </w:tcPr>
          <w:p w14:paraId="6ADF2E6D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Vlastné zdroje prijímateľa</w:t>
            </w:r>
          </w:p>
        </w:tc>
        <w:tc>
          <w:tcPr>
            <w:tcW w:w="5239" w:type="dxa"/>
          </w:tcPr>
          <w:p w14:paraId="0F04EFDB" w14:textId="77777777" w:rsidR="004D7FFC" w:rsidRPr="00FC39AB" w:rsidRDefault="005D065B" w:rsidP="006C3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N/A</w:t>
            </w:r>
          </w:p>
        </w:tc>
      </w:tr>
    </w:tbl>
    <w:p w14:paraId="005138C9" w14:textId="4E4029D7" w:rsidR="004D7FFC" w:rsidRPr="00FC39AB" w:rsidRDefault="004D7FFC" w:rsidP="00756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85018E" w14:textId="75AC306C" w:rsidR="00E31C58" w:rsidRPr="00FC39AB" w:rsidRDefault="00E31C58" w:rsidP="00E3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Rozdelenie na SW a HW v projekte je nasledovné:</w:t>
      </w:r>
    </w:p>
    <w:tbl>
      <w:tblPr>
        <w:tblStyle w:val="Mriekatabuky1"/>
        <w:tblW w:w="9067" w:type="dxa"/>
        <w:tblLook w:val="04A0" w:firstRow="1" w:lastRow="0" w:firstColumn="1" w:lastColumn="0" w:noHBand="0" w:noVBand="1"/>
      </w:tblPr>
      <w:tblGrid>
        <w:gridCol w:w="2920"/>
        <w:gridCol w:w="2178"/>
        <w:gridCol w:w="1985"/>
        <w:gridCol w:w="1984"/>
      </w:tblGrid>
      <w:tr w:rsidR="00E31C58" w:rsidRPr="00FC39AB" w14:paraId="67B1B558" w14:textId="77777777" w:rsidTr="00E17592">
        <w:trPr>
          <w:trHeight w:val="290"/>
        </w:trPr>
        <w:tc>
          <w:tcPr>
            <w:tcW w:w="2920" w:type="dxa"/>
            <w:shd w:val="clear" w:color="auto" w:fill="CCC0D9"/>
            <w:noWrap/>
            <w:hideMark/>
          </w:tcPr>
          <w:p w14:paraId="7C996EB0" w14:textId="77777777" w:rsidR="00E31C58" w:rsidRPr="00FC39AB" w:rsidRDefault="00E31C58" w:rsidP="00322C5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FC3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Projekt</w:t>
            </w:r>
            <w:proofErr w:type="spellEnd"/>
          </w:p>
        </w:tc>
        <w:tc>
          <w:tcPr>
            <w:tcW w:w="2178" w:type="dxa"/>
            <w:noWrap/>
            <w:hideMark/>
          </w:tcPr>
          <w:p w14:paraId="2538486E" w14:textId="77777777" w:rsidR="00E31C58" w:rsidRPr="00FC39AB" w:rsidRDefault="00E31C58" w:rsidP="00322C5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FC3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Spolu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za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rokov</w:t>
            </w:r>
            <w:proofErr w:type="spellEnd"/>
          </w:p>
        </w:tc>
        <w:tc>
          <w:tcPr>
            <w:tcW w:w="1985" w:type="dxa"/>
            <w:noWrap/>
            <w:hideMark/>
          </w:tcPr>
          <w:p w14:paraId="7B3F6C6A" w14:textId="77777777" w:rsidR="00E31C58" w:rsidRPr="00FC39AB" w:rsidRDefault="00E31C58" w:rsidP="00322C5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1984" w:type="dxa"/>
            <w:noWrap/>
            <w:hideMark/>
          </w:tcPr>
          <w:p w14:paraId="4B2F1126" w14:textId="77777777" w:rsidR="00E31C58" w:rsidRPr="00FC39AB" w:rsidRDefault="00E31C58" w:rsidP="00322C5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t2</w:t>
            </w:r>
          </w:p>
        </w:tc>
      </w:tr>
      <w:tr w:rsidR="00E31C58" w:rsidRPr="00FC39AB" w14:paraId="540F91E0" w14:textId="77777777" w:rsidTr="00E17592">
        <w:trPr>
          <w:trHeight w:val="290"/>
        </w:trPr>
        <w:tc>
          <w:tcPr>
            <w:tcW w:w="2920" w:type="dxa"/>
            <w:shd w:val="clear" w:color="auto" w:fill="CCC0D9"/>
            <w:noWrap/>
            <w:hideMark/>
          </w:tcPr>
          <w:p w14:paraId="2786E94E" w14:textId="77777777" w:rsidR="00E31C58" w:rsidRPr="00FC39AB" w:rsidRDefault="00E31C58" w:rsidP="0032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 produkty - sumár obstaranie</w:t>
            </w:r>
          </w:p>
        </w:tc>
        <w:tc>
          <w:tcPr>
            <w:tcW w:w="2178" w:type="dxa"/>
            <w:noWrap/>
            <w:vAlign w:val="bottom"/>
            <w:hideMark/>
          </w:tcPr>
          <w:p w14:paraId="7DB1243B" w14:textId="28978328" w:rsidR="00E31C58" w:rsidRPr="00FC39AB" w:rsidRDefault="0034340D" w:rsidP="001A5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noWrap/>
            <w:vAlign w:val="bottom"/>
            <w:hideMark/>
          </w:tcPr>
          <w:p w14:paraId="0FC7F5E8" w14:textId="4337BD14" w:rsidR="00E31C58" w:rsidRPr="00FC39AB" w:rsidRDefault="00B76D2B" w:rsidP="001A5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116 532</w:t>
            </w:r>
          </w:p>
        </w:tc>
        <w:tc>
          <w:tcPr>
            <w:tcW w:w="1984" w:type="dxa"/>
            <w:noWrap/>
            <w:vAlign w:val="bottom"/>
            <w:hideMark/>
          </w:tcPr>
          <w:p w14:paraId="05316C2C" w14:textId="69C7A224" w:rsidR="00E31C58" w:rsidRPr="00FC39AB" w:rsidRDefault="0034340D" w:rsidP="001A5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31C58" w:rsidRPr="00FC39AB" w14:paraId="6EF1593D" w14:textId="77777777" w:rsidTr="00E17592">
        <w:trPr>
          <w:trHeight w:val="290"/>
        </w:trPr>
        <w:tc>
          <w:tcPr>
            <w:tcW w:w="2920" w:type="dxa"/>
            <w:shd w:val="clear" w:color="auto" w:fill="CCC0D9"/>
            <w:noWrap/>
            <w:hideMark/>
          </w:tcPr>
          <w:p w14:paraId="745C198F" w14:textId="77777777" w:rsidR="00E31C58" w:rsidRPr="00FC39AB" w:rsidRDefault="00E31C58" w:rsidP="0032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 produkty - sumár prevádzka</w:t>
            </w:r>
          </w:p>
        </w:tc>
        <w:tc>
          <w:tcPr>
            <w:tcW w:w="2178" w:type="dxa"/>
            <w:noWrap/>
            <w:vAlign w:val="bottom"/>
            <w:hideMark/>
          </w:tcPr>
          <w:p w14:paraId="0C4D8554" w14:textId="1D7264C5" w:rsidR="00E31C58" w:rsidRPr="00FC39AB" w:rsidRDefault="00B56EB5" w:rsidP="001A5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noWrap/>
            <w:vAlign w:val="bottom"/>
            <w:hideMark/>
          </w:tcPr>
          <w:p w14:paraId="15009D18" w14:textId="477863D1" w:rsidR="00E31C58" w:rsidRPr="00FC39AB" w:rsidRDefault="00B56EB5" w:rsidP="001A5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noWrap/>
            <w:vAlign w:val="bottom"/>
            <w:hideMark/>
          </w:tcPr>
          <w:p w14:paraId="53975053" w14:textId="37EDF65F" w:rsidR="00E31C58" w:rsidRPr="00FC39AB" w:rsidRDefault="00B56EB5" w:rsidP="001A5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DE5162" w:rsidRPr="00FC39AB" w14:paraId="258DEFD6" w14:textId="77777777" w:rsidTr="00455F16">
        <w:trPr>
          <w:trHeight w:val="290"/>
        </w:trPr>
        <w:tc>
          <w:tcPr>
            <w:tcW w:w="2920" w:type="dxa"/>
            <w:shd w:val="clear" w:color="auto" w:fill="CCC0D9"/>
            <w:noWrap/>
            <w:hideMark/>
          </w:tcPr>
          <w:p w14:paraId="3BF9783D" w14:textId="77777777" w:rsidR="00DE5162" w:rsidRPr="00FC39AB" w:rsidRDefault="00DE5162" w:rsidP="00DE5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Aplikácie - sumár obstaranie</w:t>
            </w:r>
          </w:p>
        </w:tc>
        <w:tc>
          <w:tcPr>
            <w:tcW w:w="2178" w:type="dxa"/>
            <w:noWrap/>
          </w:tcPr>
          <w:p w14:paraId="6C869865" w14:textId="012DFBC3" w:rsidR="00DE5162" w:rsidRPr="00FC39AB" w:rsidRDefault="00DE5162" w:rsidP="00DE51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7 821 887</w:t>
            </w:r>
          </w:p>
        </w:tc>
        <w:tc>
          <w:tcPr>
            <w:tcW w:w="1985" w:type="dxa"/>
            <w:noWrap/>
          </w:tcPr>
          <w:p w14:paraId="02914B8A" w14:textId="5C20123F" w:rsidR="00DE5162" w:rsidRPr="00FC39AB" w:rsidRDefault="00DE5162" w:rsidP="00DE51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2 825 268</w:t>
            </w:r>
          </w:p>
        </w:tc>
        <w:tc>
          <w:tcPr>
            <w:tcW w:w="1984" w:type="dxa"/>
            <w:noWrap/>
          </w:tcPr>
          <w:p w14:paraId="1B0B8F87" w14:textId="5568F3BF" w:rsidR="00DE5162" w:rsidRPr="00FC39AB" w:rsidRDefault="00DE5162" w:rsidP="00DE51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4 996 619</w:t>
            </w:r>
          </w:p>
        </w:tc>
      </w:tr>
      <w:tr w:rsidR="00DE5162" w:rsidRPr="00FC39AB" w14:paraId="57E79A8B" w14:textId="77777777" w:rsidTr="00455F16">
        <w:trPr>
          <w:trHeight w:val="290"/>
        </w:trPr>
        <w:tc>
          <w:tcPr>
            <w:tcW w:w="2920" w:type="dxa"/>
            <w:shd w:val="clear" w:color="auto" w:fill="CCC0D9"/>
            <w:noWrap/>
            <w:hideMark/>
          </w:tcPr>
          <w:p w14:paraId="51369B4A" w14:textId="77777777" w:rsidR="00DE5162" w:rsidRPr="00FC39AB" w:rsidRDefault="00DE5162" w:rsidP="00DE51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Aplikácie - sumár prevádzka</w:t>
            </w:r>
          </w:p>
        </w:tc>
        <w:tc>
          <w:tcPr>
            <w:tcW w:w="2178" w:type="dxa"/>
            <w:noWrap/>
            <w:hideMark/>
          </w:tcPr>
          <w:p w14:paraId="36F048B7" w14:textId="1174A897" w:rsidR="00DE5162" w:rsidRPr="00FC39AB" w:rsidRDefault="00DE5162" w:rsidP="00DE51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7 809 912</w:t>
            </w:r>
          </w:p>
        </w:tc>
        <w:tc>
          <w:tcPr>
            <w:tcW w:w="1985" w:type="dxa"/>
            <w:noWrap/>
            <w:hideMark/>
          </w:tcPr>
          <w:p w14:paraId="3B225E5C" w14:textId="60E1C7BE" w:rsidR="00DE5162" w:rsidRPr="00FC39AB" w:rsidRDefault="00DE5162" w:rsidP="00DE51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161 498</w:t>
            </w:r>
          </w:p>
        </w:tc>
        <w:tc>
          <w:tcPr>
            <w:tcW w:w="1984" w:type="dxa"/>
            <w:noWrap/>
            <w:hideMark/>
          </w:tcPr>
          <w:p w14:paraId="308ACD02" w14:textId="553C7C94" w:rsidR="00DE5162" w:rsidRPr="00FC39AB" w:rsidRDefault="00DE5162" w:rsidP="00DE51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161 498</w:t>
            </w:r>
          </w:p>
        </w:tc>
      </w:tr>
      <w:tr w:rsidR="003C3219" w:rsidRPr="00FC39AB" w14:paraId="2FDFF1EC" w14:textId="77777777" w:rsidTr="00E17592">
        <w:trPr>
          <w:trHeight w:val="290"/>
        </w:trPr>
        <w:tc>
          <w:tcPr>
            <w:tcW w:w="2920" w:type="dxa"/>
            <w:shd w:val="clear" w:color="auto" w:fill="CCC0D9"/>
            <w:noWrap/>
          </w:tcPr>
          <w:p w14:paraId="0D1C829F" w14:textId="57FF3DA0" w:rsidR="003C3219" w:rsidRPr="00FC39AB" w:rsidRDefault="003C3219" w:rsidP="0032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 a Aplikácie – výstupné náklady</w:t>
            </w:r>
          </w:p>
        </w:tc>
        <w:tc>
          <w:tcPr>
            <w:tcW w:w="2178" w:type="dxa"/>
            <w:noWrap/>
            <w:vAlign w:val="bottom"/>
          </w:tcPr>
          <w:p w14:paraId="19CBCA28" w14:textId="75EC14DD" w:rsidR="003C3219" w:rsidRPr="00FC39AB" w:rsidRDefault="003C3219" w:rsidP="001A5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noWrap/>
            <w:vAlign w:val="bottom"/>
          </w:tcPr>
          <w:p w14:paraId="3A172371" w14:textId="7CE95825" w:rsidR="003C3219" w:rsidRPr="00FC39AB" w:rsidRDefault="003C3219" w:rsidP="001A5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noWrap/>
            <w:vAlign w:val="bottom"/>
          </w:tcPr>
          <w:p w14:paraId="24B787C2" w14:textId="1EE77902" w:rsidR="003C3219" w:rsidRPr="00FC39AB" w:rsidRDefault="003C3219" w:rsidP="006B4D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31C58" w:rsidRPr="00FC39AB" w14:paraId="07507B72" w14:textId="77777777" w:rsidTr="00E17592">
        <w:trPr>
          <w:trHeight w:val="290"/>
        </w:trPr>
        <w:tc>
          <w:tcPr>
            <w:tcW w:w="2920" w:type="dxa"/>
            <w:shd w:val="clear" w:color="auto" w:fill="CCC0D9"/>
            <w:noWrap/>
            <w:hideMark/>
          </w:tcPr>
          <w:p w14:paraId="6B20B803" w14:textId="77777777" w:rsidR="00E31C58" w:rsidRPr="00FC39AB" w:rsidRDefault="00E31C58" w:rsidP="0032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HW sumár obstaranie</w:t>
            </w:r>
          </w:p>
        </w:tc>
        <w:tc>
          <w:tcPr>
            <w:tcW w:w="2178" w:type="dxa"/>
            <w:noWrap/>
            <w:vAlign w:val="bottom"/>
            <w:hideMark/>
          </w:tcPr>
          <w:p w14:paraId="61402C0C" w14:textId="661422F3" w:rsidR="00E31C58" w:rsidRPr="00FC39AB" w:rsidRDefault="00393B6B" w:rsidP="001A5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300 144</w:t>
            </w:r>
          </w:p>
        </w:tc>
        <w:tc>
          <w:tcPr>
            <w:tcW w:w="1985" w:type="dxa"/>
            <w:noWrap/>
            <w:vAlign w:val="bottom"/>
            <w:hideMark/>
          </w:tcPr>
          <w:p w14:paraId="75E6A3FE" w14:textId="4C5D7FA2" w:rsidR="00E31C58" w:rsidRPr="00FC39AB" w:rsidRDefault="00B76D2B" w:rsidP="001A5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183 612</w:t>
            </w:r>
          </w:p>
        </w:tc>
        <w:tc>
          <w:tcPr>
            <w:tcW w:w="1984" w:type="dxa"/>
            <w:noWrap/>
            <w:vAlign w:val="bottom"/>
            <w:hideMark/>
          </w:tcPr>
          <w:p w14:paraId="2C2E4D19" w14:textId="3C4243D1" w:rsidR="006B4DC9" w:rsidRPr="00FC39AB" w:rsidRDefault="006B4DC9" w:rsidP="006B4D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31C58" w:rsidRPr="00FC39AB" w14:paraId="10ADF48F" w14:textId="77777777" w:rsidTr="00E17592">
        <w:trPr>
          <w:trHeight w:val="290"/>
        </w:trPr>
        <w:tc>
          <w:tcPr>
            <w:tcW w:w="2920" w:type="dxa"/>
            <w:shd w:val="clear" w:color="auto" w:fill="CCC0D9"/>
            <w:noWrap/>
            <w:hideMark/>
          </w:tcPr>
          <w:p w14:paraId="359C8334" w14:textId="77777777" w:rsidR="00E31C58" w:rsidRPr="00FC39AB" w:rsidRDefault="00E31C58" w:rsidP="0032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HW sumár prevádzka</w:t>
            </w:r>
          </w:p>
        </w:tc>
        <w:tc>
          <w:tcPr>
            <w:tcW w:w="2178" w:type="dxa"/>
            <w:noWrap/>
            <w:vAlign w:val="bottom"/>
            <w:hideMark/>
          </w:tcPr>
          <w:p w14:paraId="506243F9" w14:textId="233ABEA6" w:rsidR="00E31C58" w:rsidRPr="00FC39AB" w:rsidRDefault="00393B6B" w:rsidP="001A5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171 600</w:t>
            </w:r>
          </w:p>
        </w:tc>
        <w:tc>
          <w:tcPr>
            <w:tcW w:w="1985" w:type="dxa"/>
            <w:noWrap/>
            <w:vAlign w:val="bottom"/>
            <w:hideMark/>
          </w:tcPr>
          <w:p w14:paraId="64D67861" w14:textId="2BBB566B" w:rsidR="00E31C58" w:rsidRPr="00FC39AB" w:rsidRDefault="00126EBF" w:rsidP="001A5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noWrap/>
            <w:vAlign w:val="bottom"/>
            <w:hideMark/>
          </w:tcPr>
          <w:p w14:paraId="12D501AD" w14:textId="28040A0B" w:rsidR="00E31C58" w:rsidRPr="00FC39AB" w:rsidRDefault="00126EBF" w:rsidP="001A5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1C58" w:rsidRPr="00FC39AB" w14:paraId="3F25DACB" w14:textId="77777777" w:rsidTr="00E17592">
        <w:trPr>
          <w:trHeight w:val="290"/>
        </w:trPr>
        <w:tc>
          <w:tcPr>
            <w:tcW w:w="2920" w:type="dxa"/>
            <w:shd w:val="clear" w:color="auto" w:fill="CCC0D9"/>
            <w:noWrap/>
            <w:hideMark/>
          </w:tcPr>
          <w:p w14:paraId="7C8BD9F4" w14:textId="77777777" w:rsidR="00E31C58" w:rsidRPr="00FC39AB" w:rsidRDefault="00E31C58" w:rsidP="0032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Riadenie projektu</w:t>
            </w:r>
          </w:p>
        </w:tc>
        <w:tc>
          <w:tcPr>
            <w:tcW w:w="2178" w:type="dxa"/>
            <w:noWrap/>
            <w:vAlign w:val="bottom"/>
            <w:hideMark/>
          </w:tcPr>
          <w:p w14:paraId="1C3554D6" w14:textId="39F63BC0" w:rsidR="00E31C58" w:rsidRPr="00FC39AB" w:rsidRDefault="003C3219" w:rsidP="003C3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  <w:r w:rsidR="00354263" w:rsidRPr="00FC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985" w:type="dxa"/>
            <w:noWrap/>
            <w:vAlign w:val="bottom"/>
            <w:hideMark/>
          </w:tcPr>
          <w:p w14:paraId="45045E7F" w14:textId="365EFCAF" w:rsidR="00E31C58" w:rsidRPr="00FC39AB" w:rsidRDefault="003C3219" w:rsidP="001A5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305 668</w:t>
            </w:r>
          </w:p>
        </w:tc>
        <w:tc>
          <w:tcPr>
            <w:tcW w:w="1984" w:type="dxa"/>
            <w:noWrap/>
            <w:vAlign w:val="bottom"/>
            <w:hideMark/>
          </w:tcPr>
          <w:p w14:paraId="53AA1649" w14:textId="7510876F" w:rsidR="00E31C58" w:rsidRPr="00FC39AB" w:rsidRDefault="003C3219" w:rsidP="001A5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305 668</w:t>
            </w:r>
          </w:p>
        </w:tc>
      </w:tr>
      <w:tr w:rsidR="007E13BD" w:rsidRPr="00FC39AB" w14:paraId="2F464D2A" w14:textId="77777777" w:rsidTr="00455F16">
        <w:trPr>
          <w:trHeight w:val="290"/>
        </w:trPr>
        <w:tc>
          <w:tcPr>
            <w:tcW w:w="2920" w:type="dxa"/>
            <w:shd w:val="clear" w:color="auto" w:fill="CCC0D9"/>
            <w:noWrap/>
            <w:hideMark/>
          </w:tcPr>
          <w:p w14:paraId="2A476348" w14:textId="20C505BA" w:rsidR="007E13BD" w:rsidRPr="00FC39AB" w:rsidRDefault="007E13BD" w:rsidP="007E1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178" w:type="dxa"/>
            <w:noWrap/>
          </w:tcPr>
          <w:p w14:paraId="0FB88A37" w14:textId="1628A091" w:rsidR="007E13BD" w:rsidRPr="00FC39AB" w:rsidRDefault="007E13BD" w:rsidP="003C3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  <w:r w:rsidR="003C3219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714</w:t>
            </w: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C3219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879</w:t>
            </w:r>
          </w:p>
        </w:tc>
        <w:tc>
          <w:tcPr>
            <w:tcW w:w="1985" w:type="dxa"/>
            <w:noWrap/>
          </w:tcPr>
          <w:p w14:paraId="359B1747" w14:textId="2FA49C3D" w:rsidR="007E13BD" w:rsidRPr="00FC39AB" w:rsidRDefault="007E13BD" w:rsidP="003C3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 w:rsidR="003C3219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592</w:t>
            </w: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C3219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577</w:t>
            </w:r>
          </w:p>
        </w:tc>
        <w:tc>
          <w:tcPr>
            <w:tcW w:w="1984" w:type="dxa"/>
            <w:noWrap/>
          </w:tcPr>
          <w:p w14:paraId="19D8DA95" w14:textId="590AA786" w:rsidR="007E13BD" w:rsidRPr="00FC39AB" w:rsidRDefault="007E13BD" w:rsidP="003C3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r w:rsidR="003C3219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463</w:t>
            </w: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C3219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785</w:t>
            </w:r>
          </w:p>
        </w:tc>
      </w:tr>
    </w:tbl>
    <w:p w14:paraId="0E91EEDB" w14:textId="77777777" w:rsidR="00E31C58" w:rsidRPr="00FC39AB" w:rsidRDefault="00E31C58" w:rsidP="00756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FC294C" w14:textId="77777777" w:rsidR="004D7FFC" w:rsidRPr="00FC39AB" w:rsidRDefault="004D7FFC" w:rsidP="004D7FF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Východiskový stav</w:t>
      </w:r>
    </w:p>
    <w:p w14:paraId="52C91DE1" w14:textId="77777777" w:rsidR="00756D18" w:rsidRPr="00FC39AB" w:rsidRDefault="00756D18" w:rsidP="00756D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8C1DBA" w14:textId="77777777" w:rsidR="004D7FFC" w:rsidRPr="00FC39AB" w:rsidRDefault="004D7FFC" w:rsidP="004D7FFC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Uveďte východiskové dokumenty na regionálnej, národnej a európskej úrovni, ktoré p</w:t>
      </w:r>
      <w:r w:rsidR="000A61AB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riamo súvisia s realizáciou NP:</w:t>
      </w:r>
    </w:p>
    <w:p w14:paraId="025D2C03" w14:textId="77777777" w:rsidR="00756D18" w:rsidRPr="00FC39AB" w:rsidRDefault="00756D18" w:rsidP="00756D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BC099F" w14:textId="77777777" w:rsidR="00F10763" w:rsidRPr="00177659" w:rsidRDefault="00F10763" w:rsidP="00F10763">
      <w:pPr>
        <w:pStyle w:val="Odsekzoznamu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177659">
        <w:rPr>
          <w:rFonts w:ascii="Times New Roman" w:hAnsi="Times New Roman"/>
          <w:sz w:val="24"/>
          <w:szCs w:val="24"/>
        </w:rPr>
        <w:t>Programové vyhlásenie vlády SR na roky 2016 – 2020</w:t>
      </w:r>
    </w:p>
    <w:p w14:paraId="73C9D8AC" w14:textId="77777777" w:rsidR="00F10763" w:rsidRDefault="00F10763" w:rsidP="00F10763">
      <w:pPr>
        <w:spacing w:after="0"/>
        <w:rPr>
          <w:rFonts w:ascii="Times New Roman" w:hAnsi="Times New Roman"/>
          <w:sz w:val="24"/>
          <w:szCs w:val="24"/>
        </w:rPr>
      </w:pPr>
    </w:p>
    <w:p w14:paraId="218A3C5E" w14:textId="77777777" w:rsidR="00F10763" w:rsidRPr="00177659" w:rsidRDefault="00F10763" w:rsidP="00F10763">
      <w:pPr>
        <w:pStyle w:val="Odsekzoznamu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177659">
        <w:rPr>
          <w:rFonts w:ascii="Times New Roman" w:hAnsi="Times New Roman"/>
          <w:sz w:val="24"/>
          <w:szCs w:val="24"/>
        </w:rPr>
        <w:t>Akčný plán EÚ na posilnenie dodržiavania environmentálnej legislatívy EÚ a zlepšenie správy v oblasti životného prostredia (Oznámenie Komisie z 18. 1. 2018)</w:t>
      </w:r>
    </w:p>
    <w:p w14:paraId="4F3A9B9E" w14:textId="77777777" w:rsidR="00F10763" w:rsidRDefault="00F10763" w:rsidP="00F10763">
      <w:pPr>
        <w:spacing w:after="0"/>
        <w:rPr>
          <w:rFonts w:ascii="Times New Roman" w:hAnsi="Times New Roman"/>
          <w:sz w:val="24"/>
          <w:szCs w:val="24"/>
        </w:rPr>
      </w:pPr>
    </w:p>
    <w:p w14:paraId="1670E274" w14:textId="77777777" w:rsidR="00F10763" w:rsidRPr="00177659" w:rsidRDefault="00F10763" w:rsidP="00F10763">
      <w:pPr>
        <w:pStyle w:val="Odsekzoznamu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177659">
        <w:rPr>
          <w:rFonts w:ascii="Times New Roman" w:hAnsi="Times New Roman"/>
          <w:sz w:val="24"/>
          <w:szCs w:val="24"/>
        </w:rPr>
        <w:t>Zákony SR v aktuálnom znení:</w:t>
      </w:r>
    </w:p>
    <w:p w14:paraId="03AC3EC2" w14:textId="77777777" w:rsidR="00F10763" w:rsidRPr="00484B4B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B4B">
        <w:rPr>
          <w:rFonts w:ascii="Times New Roman" w:hAnsi="Times New Roman" w:cs="Times New Roman"/>
          <w:sz w:val="24"/>
          <w:szCs w:val="24"/>
        </w:rPr>
        <w:t xml:space="preserve">Zákon č. 17/1992 Zb. o životnom prostredí </w:t>
      </w:r>
    </w:p>
    <w:p w14:paraId="01F037F3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484B4B">
        <w:rPr>
          <w:rFonts w:ascii="Times New Roman" w:hAnsi="Times New Roman" w:cs="Times New Roman"/>
          <w:sz w:val="24"/>
          <w:szCs w:val="24"/>
        </w:rPr>
        <w:t>Zákon č. 205/</w:t>
      </w:r>
      <w:r>
        <w:rPr>
          <w:rFonts w:ascii="Times New Roman" w:hAnsi="Times New Roman"/>
          <w:sz w:val="24"/>
          <w:szCs w:val="24"/>
        </w:rPr>
        <w:t xml:space="preserve"> 2004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484B4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484B4B">
        <w:rPr>
          <w:rFonts w:ascii="Times New Roman" w:hAnsi="Times New Roman" w:cs="Times New Roman"/>
          <w:sz w:val="24"/>
          <w:szCs w:val="24"/>
        </w:rPr>
        <w:t>. o zhromažďovaní a šírení informácií o životnom prostredí a o zmene a doplnení niektorých zákonov</w:t>
      </w:r>
    </w:p>
    <w:p w14:paraId="779F23D7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45795">
        <w:rPr>
          <w:rFonts w:ascii="Times New Roman" w:hAnsi="Times New Roman"/>
          <w:sz w:val="24"/>
          <w:szCs w:val="24"/>
        </w:rPr>
        <w:t xml:space="preserve">Zákon č. 211/2000 </w:t>
      </w:r>
      <w:proofErr w:type="spellStart"/>
      <w:r w:rsidRPr="00945795">
        <w:rPr>
          <w:rFonts w:ascii="Times New Roman" w:hAnsi="Times New Roman"/>
          <w:sz w:val="24"/>
          <w:szCs w:val="24"/>
        </w:rPr>
        <w:t>Z.z</w:t>
      </w:r>
      <w:proofErr w:type="spellEnd"/>
      <w:r w:rsidRPr="00945795">
        <w:rPr>
          <w:rFonts w:ascii="Times New Roman" w:hAnsi="Times New Roman"/>
          <w:sz w:val="24"/>
          <w:szCs w:val="24"/>
        </w:rPr>
        <w:t>. o slobodnom prístupe k informáciám a o zmene a doplnení niektorých zákonov (zákon o slobode informácií) v znení neskorších predpisov</w:t>
      </w:r>
    </w:p>
    <w:p w14:paraId="2F2EE2A6" w14:textId="77777777" w:rsidR="00F10763" w:rsidRPr="00591677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1677">
        <w:rPr>
          <w:rFonts w:ascii="Times New Roman" w:hAnsi="Times New Roman" w:cs="Times New Roman"/>
          <w:sz w:val="24"/>
          <w:szCs w:val="24"/>
        </w:rPr>
        <w:t xml:space="preserve">Zákon č. 3/2010 </w:t>
      </w:r>
      <w:proofErr w:type="spellStart"/>
      <w:r w:rsidRPr="0059167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91677">
        <w:rPr>
          <w:rFonts w:ascii="Times New Roman" w:hAnsi="Times New Roman" w:cs="Times New Roman"/>
          <w:sz w:val="24"/>
          <w:szCs w:val="24"/>
        </w:rPr>
        <w:t xml:space="preserve">. o národnej infraštruktúre pre priestorové informácie </w:t>
      </w:r>
    </w:p>
    <w:p w14:paraId="34B9C84E" w14:textId="77777777" w:rsidR="00F10763" w:rsidRPr="00484B4B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525/2003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484B4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484B4B">
        <w:rPr>
          <w:rFonts w:ascii="Times New Roman" w:hAnsi="Times New Roman" w:cs="Times New Roman"/>
          <w:sz w:val="24"/>
          <w:szCs w:val="24"/>
        </w:rPr>
        <w:t>. o štátnej správe starostlivosti o životné prostredie a o zmene a doplnení niektorých zákonov</w:t>
      </w:r>
    </w:p>
    <w:p w14:paraId="5646358C" w14:textId="77777777" w:rsidR="00F10763" w:rsidRPr="00484B4B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587/2004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484B4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484B4B">
        <w:rPr>
          <w:rFonts w:ascii="Times New Roman" w:hAnsi="Times New Roman" w:cs="Times New Roman"/>
          <w:sz w:val="24"/>
          <w:szCs w:val="24"/>
        </w:rPr>
        <w:t>. o Environmentálnom fonde a o zmene a doplnení niektorých zákonov</w:t>
      </w:r>
    </w:p>
    <w:p w14:paraId="5E811433" w14:textId="77777777" w:rsidR="00F10763" w:rsidRPr="00484B4B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4B4B">
        <w:rPr>
          <w:rFonts w:ascii="Times New Roman" w:hAnsi="Times New Roman" w:cs="Times New Roman"/>
          <w:sz w:val="24"/>
          <w:szCs w:val="24"/>
        </w:rPr>
        <w:t xml:space="preserve">Zákon č. 128/2015 </w:t>
      </w:r>
      <w:proofErr w:type="spellStart"/>
      <w:r w:rsidRPr="00484B4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84B4B">
        <w:rPr>
          <w:rFonts w:ascii="Times New Roman" w:hAnsi="Times New Roman" w:cs="Times New Roman"/>
          <w:sz w:val="24"/>
          <w:szCs w:val="24"/>
        </w:rPr>
        <w:t xml:space="preserve">. o prevencii závažných priemyselných havárií a o zmene a doplnení niektorých zákonov </w:t>
      </w:r>
    </w:p>
    <w:p w14:paraId="18F0C84A" w14:textId="77777777" w:rsidR="00F10763" w:rsidRPr="00484B4B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469/2002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484B4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484B4B">
        <w:rPr>
          <w:rFonts w:ascii="Times New Roman" w:hAnsi="Times New Roman" w:cs="Times New Roman"/>
          <w:sz w:val="24"/>
          <w:szCs w:val="24"/>
        </w:rPr>
        <w:t>. o environmentálnom označovaní výrobkov</w:t>
      </w:r>
    </w:p>
    <w:p w14:paraId="6840779A" w14:textId="77777777" w:rsidR="00F10763" w:rsidRPr="004D596B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351/2012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484B4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484B4B">
        <w:rPr>
          <w:rFonts w:ascii="Times New Roman" w:hAnsi="Times New Roman" w:cs="Times New Roman"/>
          <w:sz w:val="24"/>
          <w:szCs w:val="24"/>
        </w:rPr>
        <w:t xml:space="preserve">. o environmentálnom overovaní a registrácií v schéme </w:t>
      </w:r>
      <w:r w:rsidRPr="004D596B">
        <w:rPr>
          <w:rFonts w:ascii="Times New Roman" w:hAnsi="Times New Roman" w:cs="Times New Roman"/>
          <w:sz w:val="24"/>
          <w:szCs w:val="24"/>
        </w:rPr>
        <w:t xml:space="preserve">Európskej únie pre environmentálne manažérstvo a audit a o zmene a doplnení niektorých zákonov </w:t>
      </w:r>
    </w:p>
    <w:p w14:paraId="0C393C0B" w14:textId="77777777" w:rsidR="00F10763" w:rsidRPr="004D596B" w:rsidRDefault="00F10763" w:rsidP="00F10763">
      <w:pPr>
        <w:pStyle w:val="Default"/>
        <w:numPr>
          <w:ilvl w:val="0"/>
          <w:numId w:val="24"/>
        </w:numPr>
      </w:pPr>
      <w:r>
        <w:t xml:space="preserve">Zákon č. 39/2013 </w:t>
      </w:r>
      <w:proofErr w:type="spellStart"/>
      <w:r>
        <w:t>Z.</w:t>
      </w:r>
      <w:r w:rsidRPr="004D596B">
        <w:t>z</w:t>
      </w:r>
      <w:proofErr w:type="spellEnd"/>
      <w:r w:rsidRPr="004D596B">
        <w:t xml:space="preserve">. o integrovanej prevencii a kontrole znečisťovania životného prostredia a o zmene a doplnení niektorých zákonov </w:t>
      </w:r>
    </w:p>
    <w:p w14:paraId="0AC13775" w14:textId="77777777" w:rsidR="00F10763" w:rsidRPr="004D596B" w:rsidRDefault="00F10763" w:rsidP="00F10763">
      <w:pPr>
        <w:pStyle w:val="Default"/>
        <w:numPr>
          <w:ilvl w:val="0"/>
          <w:numId w:val="24"/>
        </w:numPr>
      </w:pPr>
      <w:r>
        <w:t xml:space="preserve">Zákon č. 543/2002 </w:t>
      </w:r>
      <w:proofErr w:type="spellStart"/>
      <w:r>
        <w:t>Z.</w:t>
      </w:r>
      <w:r w:rsidRPr="004D596B">
        <w:t>z</w:t>
      </w:r>
      <w:proofErr w:type="spellEnd"/>
      <w:r w:rsidRPr="004D596B">
        <w:t xml:space="preserve">. o ochrane prírody a krajiny </w:t>
      </w:r>
    </w:p>
    <w:p w14:paraId="31794598" w14:textId="77777777" w:rsidR="00F10763" w:rsidRDefault="00F10763" w:rsidP="00F10763">
      <w:pPr>
        <w:pStyle w:val="Default"/>
        <w:numPr>
          <w:ilvl w:val="0"/>
          <w:numId w:val="24"/>
        </w:numPr>
      </w:pPr>
      <w:r w:rsidRPr="004D596B">
        <w:t xml:space="preserve">Zákon č. 263/2015 </w:t>
      </w:r>
      <w:proofErr w:type="spellStart"/>
      <w:r w:rsidRPr="004D596B">
        <w:t>Z.z</w:t>
      </w:r>
      <w:proofErr w:type="spellEnd"/>
      <w:r w:rsidRPr="004D596B">
        <w:t>. o pôsobnosti pre oblasť prístupu ku genetickým zdrojom a využívania prínosov vyplývajúcich z ich používania</w:t>
      </w:r>
    </w:p>
    <w:p w14:paraId="146F93A4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15/2005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C238EA">
        <w:rPr>
          <w:rFonts w:ascii="Times New Roman" w:hAnsi="Times New Roman"/>
          <w:sz w:val="24"/>
          <w:szCs w:val="24"/>
        </w:rPr>
        <w:t>z</w:t>
      </w:r>
      <w:proofErr w:type="spellEnd"/>
      <w:r w:rsidRPr="00C238EA">
        <w:rPr>
          <w:rFonts w:ascii="Times New Roman" w:hAnsi="Times New Roman"/>
          <w:sz w:val="24"/>
          <w:szCs w:val="24"/>
        </w:rPr>
        <w:t>. o ochrane druhov voľne žijúcich živočíchov a voľne rastúcich rastlín reguláciou obchodu s nimi a o zmene a doplnení niektorých zákonov</w:t>
      </w:r>
    </w:p>
    <w:p w14:paraId="177FAFA1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151/2002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 o používaní genetických technológií a geneticky modifikovaných organizmov</w:t>
      </w:r>
    </w:p>
    <w:p w14:paraId="18817E0B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238EA">
        <w:rPr>
          <w:rFonts w:ascii="Times New Roman" w:hAnsi="Times New Roman"/>
          <w:sz w:val="24"/>
          <w:szCs w:val="24"/>
        </w:rPr>
        <w:t xml:space="preserve">Zákon č. 364/2004 </w:t>
      </w:r>
      <w:proofErr w:type="spellStart"/>
      <w:r w:rsidRPr="00C238EA">
        <w:rPr>
          <w:rFonts w:ascii="Times New Roman" w:hAnsi="Times New Roman"/>
          <w:sz w:val="24"/>
          <w:szCs w:val="24"/>
        </w:rPr>
        <w:t>Z.z</w:t>
      </w:r>
      <w:proofErr w:type="spellEnd"/>
      <w:r w:rsidRPr="00C238EA">
        <w:rPr>
          <w:rFonts w:ascii="Times New Roman" w:hAnsi="Times New Roman"/>
          <w:sz w:val="24"/>
          <w:szCs w:val="24"/>
        </w:rPr>
        <w:t>. o</w:t>
      </w:r>
      <w:r>
        <w:rPr>
          <w:rFonts w:ascii="Times New Roman" w:hAnsi="Times New Roman"/>
          <w:sz w:val="24"/>
          <w:szCs w:val="24"/>
        </w:rPr>
        <w:t> </w:t>
      </w:r>
      <w:r w:rsidRPr="00C238EA">
        <w:rPr>
          <w:rFonts w:ascii="Times New Roman" w:hAnsi="Times New Roman"/>
          <w:sz w:val="24"/>
          <w:szCs w:val="24"/>
        </w:rPr>
        <w:t>vodách</w:t>
      </w:r>
    </w:p>
    <w:p w14:paraId="3ACD3B92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305/2018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E26F3B">
        <w:rPr>
          <w:rFonts w:ascii="Times New Roman" w:hAnsi="Times New Roman"/>
          <w:sz w:val="24"/>
          <w:szCs w:val="24"/>
        </w:rPr>
        <w:t>z</w:t>
      </w:r>
      <w:proofErr w:type="spellEnd"/>
      <w:r w:rsidRPr="00E26F3B">
        <w:rPr>
          <w:rFonts w:ascii="Times New Roman" w:hAnsi="Times New Roman"/>
          <w:sz w:val="24"/>
          <w:szCs w:val="24"/>
        </w:rPr>
        <w:t>. o chránených oblastiach prirodzenej akumulácie vôd a o zmene a doplnení niektorých zákonov</w:t>
      </w:r>
    </w:p>
    <w:p w14:paraId="6E732621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137/2010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E26F3B">
        <w:rPr>
          <w:rFonts w:ascii="Times New Roman" w:hAnsi="Times New Roman"/>
          <w:sz w:val="24"/>
          <w:szCs w:val="24"/>
        </w:rPr>
        <w:t>z</w:t>
      </w:r>
      <w:proofErr w:type="spellEnd"/>
      <w:r w:rsidRPr="00E26F3B">
        <w:rPr>
          <w:rFonts w:ascii="Times New Roman" w:hAnsi="Times New Roman"/>
          <w:sz w:val="24"/>
          <w:szCs w:val="24"/>
        </w:rPr>
        <w:t>. o ovzduší</w:t>
      </w:r>
    </w:p>
    <w:p w14:paraId="528AB4E0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26F3B">
        <w:rPr>
          <w:rFonts w:ascii="Times New Roman" w:hAnsi="Times New Roman"/>
          <w:sz w:val="24"/>
          <w:szCs w:val="24"/>
        </w:rPr>
        <w:t xml:space="preserve">Zákon č. 401/1998 </w:t>
      </w:r>
      <w:proofErr w:type="spellStart"/>
      <w:r w:rsidRPr="00E26F3B">
        <w:rPr>
          <w:rFonts w:ascii="Times New Roman" w:hAnsi="Times New Roman"/>
          <w:sz w:val="24"/>
          <w:szCs w:val="24"/>
        </w:rPr>
        <w:t>Z.z</w:t>
      </w:r>
      <w:proofErr w:type="spellEnd"/>
      <w:r w:rsidRPr="00E26F3B">
        <w:rPr>
          <w:rFonts w:ascii="Times New Roman" w:hAnsi="Times New Roman"/>
          <w:sz w:val="24"/>
          <w:szCs w:val="24"/>
        </w:rPr>
        <w:t>. o poplatkoch za znečisťovanie ovzdušia</w:t>
      </w:r>
    </w:p>
    <w:p w14:paraId="2E49DD01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286/2009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C019DE">
        <w:rPr>
          <w:rFonts w:ascii="Times New Roman" w:hAnsi="Times New Roman"/>
          <w:sz w:val="24"/>
          <w:szCs w:val="24"/>
        </w:rPr>
        <w:t>z</w:t>
      </w:r>
      <w:proofErr w:type="spellEnd"/>
      <w:r w:rsidRPr="00C019DE">
        <w:rPr>
          <w:rFonts w:ascii="Times New Roman" w:hAnsi="Times New Roman"/>
          <w:sz w:val="24"/>
          <w:szCs w:val="24"/>
        </w:rPr>
        <w:t xml:space="preserve">. o </w:t>
      </w:r>
      <w:proofErr w:type="spellStart"/>
      <w:r w:rsidRPr="00C019DE">
        <w:rPr>
          <w:rFonts w:ascii="Times New Roman" w:hAnsi="Times New Roman"/>
          <w:sz w:val="24"/>
          <w:szCs w:val="24"/>
        </w:rPr>
        <w:t>fluórovaných</w:t>
      </w:r>
      <w:proofErr w:type="spellEnd"/>
      <w:r w:rsidRPr="00C019DE">
        <w:rPr>
          <w:rFonts w:ascii="Times New Roman" w:hAnsi="Times New Roman"/>
          <w:sz w:val="24"/>
          <w:szCs w:val="24"/>
        </w:rPr>
        <w:t xml:space="preserve"> skleníkových plynoch a o zmene a doplnení niektorých zákonov</w:t>
      </w:r>
    </w:p>
    <w:p w14:paraId="62B02ADB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019DE">
        <w:rPr>
          <w:rFonts w:ascii="Times New Roman" w:hAnsi="Times New Roman"/>
          <w:sz w:val="24"/>
          <w:szCs w:val="24"/>
        </w:rPr>
        <w:t xml:space="preserve">Zákon č. 321/2012 </w:t>
      </w:r>
      <w:proofErr w:type="spellStart"/>
      <w:r w:rsidRPr="00C019DE">
        <w:rPr>
          <w:rFonts w:ascii="Times New Roman" w:hAnsi="Times New Roman"/>
          <w:sz w:val="24"/>
          <w:szCs w:val="24"/>
        </w:rPr>
        <w:t>Z.z</w:t>
      </w:r>
      <w:proofErr w:type="spellEnd"/>
      <w:r w:rsidRPr="00C019DE">
        <w:rPr>
          <w:rFonts w:ascii="Times New Roman" w:hAnsi="Times New Roman"/>
          <w:sz w:val="24"/>
          <w:szCs w:val="24"/>
        </w:rPr>
        <w:t>. o ochrane ozónovej vrstvy Zeme a o doplnení niektorých zákonov</w:t>
      </w:r>
    </w:p>
    <w:p w14:paraId="1B68F5F1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414/2012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C019DE">
        <w:rPr>
          <w:rFonts w:ascii="Times New Roman" w:hAnsi="Times New Roman"/>
          <w:sz w:val="24"/>
          <w:szCs w:val="24"/>
        </w:rPr>
        <w:t>z</w:t>
      </w:r>
      <w:proofErr w:type="spellEnd"/>
      <w:r w:rsidRPr="00C019DE">
        <w:rPr>
          <w:rFonts w:ascii="Times New Roman" w:hAnsi="Times New Roman"/>
          <w:sz w:val="24"/>
          <w:szCs w:val="24"/>
        </w:rPr>
        <w:t>. o obchodovaní s emisnými kvótami a o zmene a doplnení niektorých zákonov</w:t>
      </w:r>
    </w:p>
    <w:p w14:paraId="24AFE4FC" w14:textId="77777777" w:rsidR="00F10763" w:rsidRPr="00041688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Zákon č. 79/2015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041688">
        <w:rPr>
          <w:rFonts w:ascii="Times New Roman" w:hAnsi="Times New Roman"/>
          <w:sz w:val="24"/>
          <w:szCs w:val="24"/>
        </w:rPr>
        <w:t>z</w:t>
      </w:r>
      <w:proofErr w:type="spellEnd"/>
      <w:r w:rsidRPr="00041688">
        <w:rPr>
          <w:rFonts w:ascii="Times New Roman" w:hAnsi="Times New Roman"/>
          <w:sz w:val="24"/>
          <w:szCs w:val="24"/>
        </w:rPr>
        <w:t xml:space="preserve">. o odpadoch a o zmene a doplnení niektorých zákonov </w:t>
      </w:r>
    </w:p>
    <w:p w14:paraId="0AF06780" w14:textId="77777777" w:rsidR="00F10763" w:rsidRPr="00041688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127/2006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041688">
        <w:rPr>
          <w:rFonts w:ascii="Times New Roman" w:hAnsi="Times New Roman"/>
          <w:sz w:val="24"/>
          <w:szCs w:val="24"/>
        </w:rPr>
        <w:t>z</w:t>
      </w:r>
      <w:proofErr w:type="spellEnd"/>
      <w:r w:rsidRPr="00041688">
        <w:rPr>
          <w:rFonts w:ascii="Times New Roman" w:hAnsi="Times New Roman"/>
          <w:sz w:val="24"/>
          <w:szCs w:val="24"/>
        </w:rPr>
        <w:t xml:space="preserve">. o </w:t>
      </w:r>
      <w:proofErr w:type="spellStart"/>
      <w:r w:rsidRPr="00041688">
        <w:rPr>
          <w:rFonts w:ascii="Times New Roman" w:hAnsi="Times New Roman"/>
          <w:sz w:val="24"/>
          <w:szCs w:val="24"/>
        </w:rPr>
        <w:t>perzistentných</w:t>
      </w:r>
      <w:proofErr w:type="spellEnd"/>
      <w:r w:rsidRPr="00041688">
        <w:rPr>
          <w:rFonts w:ascii="Times New Roman" w:hAnsi="Times New Roman"/>
          <w:sz w:val="24"/>
          <w:szCs w:val="24"/>
        </w:rPr>
        <w:t xml:space="preserve"> organických látkach </w:t>
      </w:r>
    </w:p>
    <w:p w14:paraId="43BF45B5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329/2018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041688">
        <w:rPr>
          <w:rFonts w:ascii="Times New Roman" w:hAnsi="Times New Roman"/>
          <w:sz w:val="24"/>
          <w:szCs w:val="24"/>
        </w:rPr>
        <w:t>z</w:t>
      </w:r>
      <w:proofErr w:type="spellEnd"/>
      <w:r w:rsidRPr="00041688">
        <w:rPr>
          <w:rFonts w:ascii="Times New Roman" w:hAnsi="Times New Roman"/>
          <w:sz w:val="24"/>
          <w:szCs w:val="24"/>
        </w:rPr>
        <w:t>. o poplatkoch za uloženie odpadov a o zmene a doplnení zákona č</w:t>
      </w:r>
      <w:r>
        <w:rPr>
          <w:rFonts w:ascii="Times New Roman" w:hAnsi="Times New Roman"/>
          <w:sz w:val="24"/>
          <w:szCs w:val="24"/>
        </w:rPr>
        <w:t xml:space="preserve">. 587/2004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041688">
        <w:rPr>
          <w:rFonts w:ascii="Times New Roman" w:hAnsi="Times New Roman"/>
          <w:sz w:val="24"/>
          <w:szCs w:val="24"/>
        </w:rPr>
        <w:t>z</w:t>
      </w:r>
      <w:proofErr w:type="spellEnd"/>
      <w:r w:rsidRPr="00041688">
        <w:rPr>
          <w:rFonts w:ascii="Times New Roman" w:hAnsi="Times New Roman"/>
          <w:sz w:val="24"/>
          <w:szCs w:val="24"/>
        </w:rPr>
        <w:t xml:space="preserve">. o Environmentálnom fonde a o zmene a doplnení niektorých zákonov </w:t>
      </w:r>
    </w:p>
    <w:p w14:paraId="1BE2110A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359/2007 </w:t>
      </w:r>
      <w:proofErr w:type="spellStart"/>
      <w:r>
        <w:rPr>
          <w:rFonts w:ascii="Times New Roman" w:hAnsi="Times New Roman"/>
          <w:sz w:val="24"/>
          <w:szCs w:val="24"/>
        </w:rPr>
        <w:t>Z.</w:t>
      </w:r>
      <w:r w:rsidRPr="00B92F34">
        <w:rPr>
          <w:rFonts w:ascii="Times New Roman" w:hAnsi="Times New Roman"/>
          <w:sz w:val="24"/>
          <w:szCs w:val="24"/>
        </w:rPr>
        <w:t>z</w:t>
      </w:r>
      <w:proofErr w:type="spellEnd"/>
      <w:r w:rsidRPr="00B92F34">
        <w:rPr>
          <w:rFonts w:ascii="Times New Roman" w:hAnsi="Times New Roman"/>
          <w:sz w:val="24"/>
          <w:szCs w:val="24"/>
        </w:rPr>
        <w:t>. o prevencii a náprave environmentálnych škôd a o zmene a doplnení niektorých zákonov</w:t>
      </w:r>
    </w:p>
    <w:p w14:paraId="4AB46FC5" w14:textId="7F13B87B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67/2010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91677">
        <w:rPr>
          <w:rFonts w:ascii="Times New Roman" w:hAnsi="Times New Roman"/>
          <w:sz w:val="24"/>
          <w:szCs w:val="24"/>
        </w:rPr>
        <w:t>o podmienkach uvedenia chemických látok a chemických zmesí na trh a o zmene a doplnení niektorých zákonov (chemický zákon</w:t>
      </w:r>
      <w:r>
        <w:rPr>
          <w:rFonts w:ascii="Times New Roman" w:hAnsi="Times New Roman"/>
          <w:sz w:val="24"/>
          <w:szCs w:val="24"/>
        </w:rPr>
        <w:t>)</w:t>
      </w:r>
    </w:p>
    <w:p w14:paraId="0730A8D2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409/2011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91677">
        <w:rPr>
          <w:rFonts w:ascii="Times New Roman" w:hAnsi="Times New Roman"/>
          <w:sz w:val="24"/>
          <w:szCs w:val="24"/>
        </w:rPr>
        <w:t>o niektorých opatreniach na úseku environmentálnej záťaže a o zmene a doplnení niektorých zákonov</w:t>
      </w:r>
    </w:p>
    <w:p w14:paraId="70C92201" w14:textId="77777777" w:rsidR="00F10763" w:rsidRDefault="00F10763" w:rsidP="00F10763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319/2013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91677">
        <w:rPr>
          <w:rFonts w:ascii="Times New Roman" w:hAnsi="Times New Roman"/>
          <w:sz w:val="24"/>
          <w:szCs w:val="24"/>
        </w:rPr>
        <w:t>o pôsobnosti orgánov štátnej správy pre sprístupňovanie biocídnych výrobkov na trh a ich používanie a o zmene a doplnení niektorých zákonov (biocídny zákon)</w:t>
      </w:r>
    </w:p>
    <w:p w14:paraId="6F2A7686" w14:textId="77777777" w:rsidR="00F10763" w:rsidRDefault="00F10763" w:rsidP="00F10763">
      <w:pPr>
        <w:spacing w:after="0"/>
        <w:rPr>
          <w:rFonts w:ascii="Times New Roman" w:hAnsi="Times New Roman"/>
          <w:sz w:val="24"/>
          <w:szCs w:val="24"/>
        </w:rPr>
      </w:pPr>
    </w:p>
    <w:p w14:paraId="4B11DDC0" w14:textId="77777777" w:rsidR="00F10763" w:rsidRPr="00177659" w:rsidRDefault="00F10763" w:rsidP="00F10763">
      <w:pPr>
        <w:pStyle w:val="Odsekzoznamu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7659">
        <w:rPr>
          <w:rFonts w:ascii="Times New Roman" w:hAnsi="Times New Roman" w:cs="Times New Roman"/>
          <w:sz w:val="24"/>
          <w:szCs w:val="24"/>
        </w:rPr>
        <w:t>Medzinárodné dohovory:</w:t>
      </w:r>
    </w:p>
    <w:p w14:paraId="0774FE52" w14:textId="7FA8856E" w:rsidR="00F10763" w:rsidRPr="004D596B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596B">
        <w:rPr>
          <w:rFonts w:ascii="Times New Roman" w:hAnsi="Times New Roman" w:cs="Times New Roman"/>
          <w:sz w:val="24"/>
          <w:szCs w:val="24"/>
        </w:rPr>
        <w:t>Doh</w:t>
      </w:r>
      <w:r>
        <w:rPr>
          <w:rFonts w:ascii="Times New Roman" w:hAnsi="Times New Roman"/>
          <w:sz w:val="24"/>
          <w:szCs w:val="24"/>
        </w:rPr>
        <w:t>ovor</w:t>
      </w:r>
      <w:r w:rsidRPr="004D596B">
        <w:rPr>
          <w:rFonts w:ascii="Times New Roman" w:hAnsi="Times New Roman" w:cs="Times New Roman"/>
          <w:sz w:val="24"/>
          <w:szCs w:val="24"/>
        </w:rPr>
        <w:t xml:space="preserve"> o mokradiach majúcich medzinárodný význam najmä ako biotopy vodn</w:t>
      </w:r>
      <w:r>
        <w:rPr>
          <w:rFonts w:ascii="Times New Roman" w:hAnsi="Times New Roman" w:cs="Times New Roman"/>
          <w:sz w:val="24"/>
          <w:szCs w:val="24"/>
        </w:rPr>
        <w:t>ého vtáctva (</w:t>
      </w:r>
      <w:proofErr w:type="spellStart"/>
      <w:r>
        <w:rPr>
          <w:rFonts w:ascii="Times New Roman" w:hAnsi="Times New Roman" w:cs="Times New Roman"/>
          <w:sz w:val="24"/>
          <w:szCs w:val="24"/>
        </w:rPr>
        <w:t>Ramsarský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dohovor)</w:t>
      </w:r>
      <w:r w:rsidRPr="004D5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D5506" w14:textId="77777777" w:rsidR="00F10763" w:rsidRPr="004D596B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Dohovor</w:t>
      </w:r>
      <w:r w:rsidRPr="004D596B">
        <w:rPr>
          <w:rFonts w:ascii="Times New Roman" w:hAnsi="Times New Roman" w:cs="Times New Roman"/>
          <w:sz w:val="24"/>
          <w:szCs w:val="24"/>
        </w:rPr>
        <w:t xml:space="preserve"> o ochrane svetového kultúrneho a prírodného dedičstva. </w:t>
      </w:r>
    </w:p>
    <w:p w14:paraId="67C39AB9" w14:textId="0ECC72B5" w:rsidR="00F10763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Dohovor</w:t>
      </w:r>
      <w:r>
        <w:rPr>
          <w:rFonts w:ascii="Times New Roman" w:hAnsi="Times New Roman" w:cs="Times New Roman"/>
          <w:sz w:val="24"/>
          <w:szCs w:val="24"/>
        </w:rPr>
        <w:t xml:space="preserve"> o biologickej diverzite</w:t>
      </w:r>
      <w:r w:rsidRPr="004D5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3995A" w14:textId="77777777" w:rsidR="00F10763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9655C7">
        <w:rPr>
          <w:rFonts w:ascii="Times New Roman" w:hAnsi="Times New Roman"/>
          <w:sz w:val="24"/>
          <w:szCs w:val="24"/>
        </w:rPr>
        <w:t>Kartagensk</w:t>
      </w:r>
      <w:r>
        <w:rPr>
          <w:rFonts w:ascii="Times New Roman" w:hAnsi="Times New Roman"/>
          <w:sz w:val="24"/>
          <w:szCs w:val="24"/>
        </w:rPr>
        <w:t>ý</w:t>
      </w:r>
      <w:proofErr w:type="spellEnd"/>
      <w:r>
        <w:rPr>
          <w:rFonts w:ascii="Times New Roman" w:hAnsi="Times New Roman"/>
          <w:sz w:val="24"/>
          <w:szCs w:val="24"/>
        </w:rPr>
        <w:t xml:space="preserve"> protokol</w:t>
      </w:r>
      <w:r w:rsidRPr="009655C7">
        <w:rPr>
          <w:rFonts w:ascii="Times New Roman" w:hAnsi="Times New Roman"/>
          <w:sz w:val="24"/>
          <w:szCs w:val="24"/>
        </w:rPr>
        <w:t xml:space="preserve"> o biologickej bezpečnosti k D</w:t>
      </w:r>
      <w:r>
        <w:rPr>
          <w:rFonts w:ascii="Times New Roman" w:hAnsi="Times New Roman"/>
          <w:sz w:val="24"/>
          <w:szCs w:val="24"/>
        </w:rPr>
        <w:t>ohovoru o biologickej diverzite</w:t>
      </w:r>
    </w:p>
    <w:p w14:paraId="48EEEBFC" w14:textId="77777777" w:rsidR="00F10763" w:rsidRPr="009655C7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Nagojský</w:t>
      </w:r>
      <w:proofErr w:type="spellEnd"/>
      <w:r>
        <w:rPr>
          <w:rFonts w:ascii="Times New Roman" w:hAnsi="Times New Roman"/>
          <w:sz w:val="24"/>
          <w:szCs w:val="24"/>
        </w:rPr>
        <w:t xml:space="preserve"> protokol </w:t>
      </w:r>
      <w:r w:rsidRPr="009655C7">
        <w:rPr>
          <w:rFonts w:ascii="Times New Roman" w:hAnsi="Times New Roman"/>
          <w:sz w:val="24"/>
          <w:szCs w:val="24"/>
        </w:rPr>
        <w:t>k D</w:t>
      </w:r>
      <w:r>
        <w:rPr>
          <w:rFonts w:ascii="Times New Roman" w:hAnsi="Times New Roman"/>
          <w:sz w:val="24"/>
          <w:szCs w:val="24"/>
        </w:rPr>
        <w:t>ohovoru o biologickej diverzite</w:t>
      </w:r>
    </w:p>
    <w:p w14:paraId="10DFF7AB" w14:textId="1A925198" w:rsidR="00F10763" w:rsidRPr="004D596B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Dohovor</w:t>
      </w:r>
      <w:r w:rsidRPr="004D596B">
        <w:rPr>
          <w:rFonts w:ascii="Times New Roman" w:hAnsi="Times New Roman" w:cs="Times New Roman"/>
          <w:sz w:val="24"/>
          <w:szCs w:val="24"/>
        </w:rPr>
        <w:t xml:space="preserve"> o ochrane sťahovavých druhov voľne žijúc</w:t>
      </w:r>
      <w:r>
        <w:rPr>
          <w:rFonts w:ascii="Times New Roman" w:hAnsi="Times New Roman" w:cs="Times New Roman"/>
          <w:sz w:val="24"/>
          <w:szCs w:val="24"/>
        </w:rPr>
        <w:t>ich živočíchov (</w:t>
      </w:r>
      <w:proofErr w:type="spellStart"/>
      <w:r>
        <w:rPr>
          <w:rFonts w:ascii="Times New Roman" w:hAnsi="Times New Roman" w:cs="Times New Roman"/>
          <w:sz w:val="24"/>
          <w:szCs w:val="24"/>
        </w:rPr>
        <w:t>Bonský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dohovor)</w:t>
      </w:r>
      <w:r w:rsidRPr="004D5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D1BC8" w14:textId="77CB17F9" w:rsidR="00F10763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Dohovor</w:t>
      </w:r>
      <w:r w:rsidRPr="009655C7">
        <w:rPr>
          <w:rFonts w:ascii="Times New Roman" w:hAnsi="Times New Roman" w:cs="Times New Roman"/>
          <w:sz w:val="24"/>
          <w:szCs w:val="24"/>
        </w:rPr>
        <w:t xml:space="preserve"> o ochrane európskych voľne žijúcich organizmov a prírodn</w:t>
      </w:r>
      <w:r>
        <w:rPr>
          <w:rFonts w:ascii="Times New Roman" w:hAnsi="Times New Roman" w:cs="Times New Roman"/>
          <w:sz w:val="24"/>
          <w:szCs w:val="24"/>
        </w:rPr>
        <w:t>ých stanovíšť (Bernský dohovor)</w:t>
      </w:r>
      <w:r w:rsidRPr="00965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FBE7F" w14:textId="77777777" w:rsidR="00F10763" w:rsidRPr="009655C7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655C7">
        <w:rPr>
          <w:rFonts w:ascii="Times New Roman" w:hAnsi="Times New Roman"/>
          <w:sz w:val="24"/>
          <w:szCs w:val="24"/>
        </w:rPr>
        <w:t>Dohod</w:t>
      </w:r>
      <w:r>
        <w:rPr>
          <w:rFonts w:ascii="Times New Roman" w:hAnsi="Times New Roman"/>
          <w:sz w:val="24"/>
          <w:szCs w:val="24"/>
        </w:rPr>
        <w:t>a</w:t>
      </w:r>
      <w:r w:rsidRPr="009655C7">
        <w:rPr>
          <w:rFonts w:ascii="Times New Roman" w:hAnsi="Times New Roman"/>
          <w:sz w:val="24"/>
          <w:szCs w:val="24"/>
        </w:rPr>
        <w:t xml:space="preserve"> o ochrane africko-euroázijských druhov vodného sťahovavého vtáctva </w:t>
      </w:r>
    </w:p>
    <w:p w14:paraId="018BC4EA" w14:textId="77777777" w:rsidR="00F10763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Európsky dohovor o krajine</w:t>
      </w:r>
    </w:p>
    <w:p w14:paraId="6A0DF004" w14:textId="77777777" w:rsidR="00F10763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Dohovor</w:t>
      </w:r>
      <w:r w:rsidRPr="00C238EA">
        <w:rPr>
          <w:rFonts w:ascii="Times New Roman" w:hAnsi="Times New Roman"/>
          <w:sz w:val="24"/>
          <w:szCs w:val="24"/>
        </w:rPr>
        <w:t xml:space="preserve"> o medzinárodnom obchode s ohrozenými druhmi voľne žijúcich živočíchov a rastlín (CITES)</w:t>
      </w:r>
    </w:p>
    <w:p w14:paraId="33BDAD56" w14:textId="083CE5D9" w:rsidR="00F10763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019DE">
        <w:rPr>
          <w:rFonts w:ascii="Times New Roman" w:hAnsi="Times New Roman"/>
          <w:sz w:val="24"/>
          <w:szCs w:val="24"/>
        </w:rPr>
        <w:t>Dohovoru o diaľkovom znečisťovaní ovzdušia prechádzajúcom hranicami štátov z roku 1979 o ďalšom znižovaní emisií síry</w:t>
      </w:r>
    </w:p>
    <w:p w14:paraId="0EAF800E" w14:textId="77777777" w:rsidR="00F10763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Montrealský protokol </w:t>
      </w:r>
      <w:r w:rsidRPr="00C019DE">
        <w:rPr>
          <w:rFonts w:ascii="Times New Roman" w:hAnsi="Times New Roman"/>
          <w:sz w:val="24"/>
          <w:szCs w:val="24"/>
        </w:rPr>
        <w:t>o látkach, ktoré poškodzujú ozónovú vrstvu</w:t>
      </w:r>
    </w:p>
    <w:p w14:paraId="7DD05B52" w14:textId="6B7BD23A" w:rsidR="00F10763" w:rsidRPr="0078740F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8740F">
        <w:rPr>
          <w:rFonts w:ascii="Times New Roman" w:hAnsi="Times New Roman"/>
          <w:sz w:val="24"/>
          <w:szCs w:val="24"/>
        </w:rPr>
        <w:t>Bazilejsk</w:t>
      </w:r>
      <w:r>
        <w:rPr>
          <w:rFonts w:ascii="Times New Roman" w:hAnsi="Times New Roman"/>
          <w:sz w:val="24"/>
          <w:szCs w:val="24"/>
        </w:rPr>
        <w:t>ý dohovor</w:t>
      </w:r>
      <w:r w:rsidRPr="0078740F">
        <w:rPr>
          <w:rFonts w:ascii="Times New Roman" w:hAnsi="Times New Roman"/>
          <w:sz w:val="24"/>
          <w:szCs w:val="24"/>
        </w:rPr>
        <w:t xml:space="preserve"> o riadení pohybov nebezpečných odpadov cez hra</w:t>
      </w:r>
      <w:r>
        <w:rPr>
          <w:rFonts w:ascii="Times New Roman" w:hAnsi="Times New Roman"/>
          <w:sz w:val="24"/>
          <w:szCs w:val="24"/>
        </w:rPr>
        <w:t>nice štátov a ich zneškodňovaní</w:t>
      </w:r>
    </w:p>
    <w:p w14:paraId="3D4C4882" w14:textId="77777777" w:rsidR="00F10763" w:rsidRPr="004D596B" w:rsidRDefault="00F10763" w:rsidP="00F10763">
      <w:pPr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740F">
        <w:rPr>
          <w:rFonts w:ascii="Times New Roman" w:hAnsi="Times New Roman"/>
          <w:sz w:val="24"/>
          <w:szCs w:val="24"/>
        </w:rPr>
        <w:t>Štokholmsk</w:t>
      </w:r>
      <w:r>
        <w:rPr>
          <w:rFonts w:ascii="Times New Roman" w:hAnsi="Times New Roman"/>
          <w:sz w:val="24"/>
          <w:szCs w:val="24"/>
        </w:rPr>
        <w:t>ý dohovor</w:t>
      </w:r>
      <w:r w:rsidRPr="0078740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8740F">
        <w:rPr>
          <w:rFonts w:ascii="Times New Roman" w:hAnsi="Times New Roman"/>
          <w:sz w:val="24"/>
          <w:szCs w:val="24"/>
        </w:rPr>
        <w:t>perzistentných</w:t>
      </w:r>
      <w:proofErr w:type="spellEnd"/>
      <w:r w:rsidRPr="0078740F">
        <w:rPr>
          <w:rFonts w:ascii="Times New Roman" w:hAnsi="Times New Roman"/>
          <w:sz w:val="24"/>
          <w:szCs w:val="24"/>
        </w:rPr>
        <w:t xml:space="preserve"> organických látkach</w:t>
      </w:r>
    </w:p>
    <w:p w14:paraId="3DE13071" w14:textId="77777777" w:rsidR="002076B4" w:rsidRPr="00FC39AB" w:rsidRDefault="002076B4" w:rsidP="00207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0D1064" w14:textId="77777777" w:rsidR="004D7FFC" w:rsidRPr="00FC39AB" w:rsidRDefault="004D7FFC" w:rsidP="004D7FFC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predchádzajúce výstupy z dostupných analýz, na ktoré nadväzuje navrhovaný zámer NP (št</w:t>
      </w:r>
      <w:r w:rsidR="000873F7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atistiky, analýzy, štúdie,...):</w:t>
      </w:r>
    </w:p>
    <w:p w14:paraId="3E3A70BE" w14:textId="77777777" w:rsidR="00756D18" w:rsidRPr="00FC39AB" w:rsidRDefault="00756D18" w:rsidP="00756D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DE12A0" w14:textId="77777777" w:rsidR="00B66F51" w:rsidRPr="00FC39AB" w:rsidRDefault="00D90C89" w:rsidP="00B66F5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Štúdia uskutočniteľnosti „Zefektívnenie štátneho dozoru v starostlivosti o životné prostredie“</w:t>
      </w:r>
    </w:p>
    <w:p w14:paraId="77E155A1" w14:textId="0BAABF83" w:rsidR="00756D18" w:rsidRPr="00FC39AB" w:rsidRDefault="009456ED" w:rsidP="00B66F5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2" w:history="1">
        <w:r w:rsidR="00D90C89" w:rsidRPr="00FC39AB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https://metais.finance.gov.sk/studia/detail/4550c784-0fe9-6f97-ab7f-111e0da13e00?tab=basicForm</w:t>
        </w:r>
      </w:hyperlink>
    </w:p>
    <w:p w14:paraId="40E8ADDE" w14:textId="77777777" w:rsidR="00D90C89" w:rsidRPr="00FC39AB" w:rsidRDefault="00D90C89" w:rsidP="00756D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9EF182" w14:textId="77777777" w:rsidR="004D7FFC" w:rsidRPr="00FC39AB" w:rsidRDefault="004D7FFC" w:rsidP="004D7FFC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Uveďte, na ktoré z ukončených a prebiehajúcich národných projektov</w:t>
      </w:r>
      <w:r w:rsidRPr="00FC39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footnoteReference w:id="6"/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zámer NP priamo nadväzuje, v čom je navrhovaný NP od nich odlišný a ako sú v ňom zohľadnené výsledky/dopady predchádzajúcich NP (ak relevantné):</w:t>
      </w:r>
    </w:p>
    <w:p w14:paraId="5EA3D0FB" w14:textId="77777777" w:rsidR="00756D18" w:rsidRPr="00FC39AB" w:rsidRDefault="00756D18" w:rsidP="00756D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51555" w14:textId="77777777" w:rsidR="002936AD" w:rsidRPr="00FC39AB" w:rsidRDefault="002936AD" w:rsidP="00F37A9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Zámer NP priamo nenadväzuje na žiadny z ukončených ani prebiehajúcich národných projektov.</w:t>
      </w:r>
    </w:p>
    <w:p w14:paraId="6A55AAA8" w14:textId="77777777" w:rsidR="00ED7189" w:rsidRPr="00FC39AB" w:rsidRDefault="00ED7189" w:rsidP="00ED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097FB3" w14:textId="77777777" w:rsidR="004D7FFC" w:rsidRPr="00FC39AB" w:rsidRDefault="004D7FFC" w:rsidP="004D7FFC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Popíšte problémové a prioritné oblasti, ktoré rieši zámer národného projektu. (Zoznam známych problémov, ktoré vyplývajú zo súčasného s</w:t>
      </w:r>
      <w:r w:rsidR="000A61AB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tavu a je potrebné ich riešiť):</w:t>
      </w:r>
    </w:p>
    <w:p w14:paraId="4F74E572" w14:textId="77777777" w:rsidR="00410A31" w:rsidRPr="00FC39AB" w:rsidRDefault="00410A31" w:rsidP="00410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66E68C" w14:textId="77777777" w:rsidR="005E075B" w:rsidRPr="00FC39AB" w:rsidRDefault="005E075B" w:rsidP="002076B4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Kľúčovými miestami straty efektívnosti sú: zber údajov o kontrolovanom subjekte:</w:t>
      </w:r>
    </w:p>
    <w:p w14:paraId="3493C510" w14:textId="58B55E1F" w:rsidR="00B02086" w:rsidRPr="00FC39AB" w:rsidRDefault="005E075B" w:rsidP="002076B4">
      <w:pPr>
        <w:pStyle w:val="Odsekzoznamu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dáta sú rozptýlené a niekedy v surovej forme vyžadujúcej ďalšie spracovanie </w:t>
      </w:r>
      <w:r w:rsidR="00D90C89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napr.</w:t>
      </w:r>
      <w:r w:rsidR="00D90C89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prekrývanie mapových vrstiev. Bude automatizované v IS KSED,</w:t>
      </w:r>
    </w:p>
    <w:p w14:paraId="0B642C2B" w14:textId="1F733406" w:rsidR="00B02086" w:rsidRPr="00FC39AB" w:rsidRDefault="005E075B" w:rsidP="002076B4">
      <w:pPr>
        <w:pStyle w:val="Odsekzoznamu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nedostupnosť údajov počas pobytu v teréne: dochádza k potrebe opakovaných návštev v dôsledku potreby získať doplňujúce</w:t>
      </w:r>
      <w:r w:rsidR="002076B4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údaje,</w:t>
      </w:r>
    </w:p>
    <w:p w14:paraId="012CFEB3" w14:textId="02253F5C" w:rsidR="00B02086" w:rsidRPr="00FC39AB" w:rsidRDefault="005E075B" w:rsidP="002076B4">
      <w:pPr>
        <w:pStyle w:val="Odsekzoznamu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ručné ukladanie dôkazovej dokumentáci</w:t>
      </w:r>
      <w:r w:rsidR="002076B4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e do spisu: bude automatizované,</w:t>
      </w:r>
    </w:p>
    <w:p w14:paraId="44513984" w14:textId="77777777" w:rsidR="00B02086" w:rsidRPr="00FC39AB" w:rsidRDefault="005E075B" w:rsidP="002076B4">
      <w:pPr>
        <w:pStyle w:val="Odsekzoznamu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finalizácia / pasportizácia spisu.</w:t>
      </w:r>
    </w:p>
    <w:p w14:paraId="30ED5B3A" w14:textId="77777777" w:rsidR="002076B4" w:rsidRPr="00FC39AB" w:rsidRDefault="002076B4" w:rsidP="00B0208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EDBB09" w14:textId="30FBC674" w:rsidR="00B02086" w:rsidRPr="00FC39AB" w:rsidRDefault="005E075B" w:rsidP="002076B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Kľúčovými miesta</w:t>
      </w:r>
      <w:r w:rsidR="002076B4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mi straty účinnosti kontrol sú:</w:t>
      </w:r>
    </w:p>
    <w:p w14:paraId="17111966" w14:textId="69FC4BAA" w:rsidR="00DB1CE1" w:rsidRPr="00FC39AB" w:rsidRDefault="005E075B" w:rsidP="002076B4">
      <w:pPr>
        <w:pStyle w:val="Odsekzoznamu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nemožnosť presnejšieho výberu rizikových kontrolovaných subjektov cez analýzu rizík: funkcionalita plánovania kontrol využitím analýzy rizík bude súčasťou IS KSED</w:t>
      </w:r>
      <w:r w:rsidR="002076B4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94D4678" w14:textId="060816B4" w:rsidR="00756D18" w:rsidRPr="00FC39AB" w:rsidRDefault="005E075B" w:rsidP="002076B4">
      <w:pPr>
        <w:pStyle w:val="Odsekzoznamu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procesná </w:t>
      </w:r>
      <w:proofErr w:type="spellStart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napadnuteľnosť</w:t>
      </w:r>
      <w:proofErr w:type="spellEnd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získaných dôkazov, keďže v súčasnosti nie je možné preukázať následné nepozmenenie elektronických dokumentov: okamžité ukladanie do spisu bude zabezpečené mobilným IS KSED, následné nepozmenenie bezpečnostným riešením.</w:t>
      </w:r>
    </w:p>
    <w:p w14:paraId="7F5BB727" w14:textId="77777777" w:rsidR="00DB1CE1" w:rsidRPr="00FC39AB" w:rsidRDefault="00DB1CE1" w:rsidP="002076B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9554D2" w14:textId="77777777" w:rsidR="004D7FFC" w:rsidRPr="00FC39AB" w:rsidRDefault="004D7FFC" w:rsidP="00410A31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Popíšte administratívnu, finančnú a prevádzkovú kapacitu žiadateľa a partnera (v prípade, že v projekte je zapojený aj partner)</w:t>
      </w:r>
      <w:r w:rsidR="000A61AB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FE3ACFD" w14:textId="77777777" w:rsidR="000A61AB" w:rsidRPr="00FC39AB" w:rsidRDefault="000A61AB" w:rsidP="00756D1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7068AA" w14:textId="77777777" w:rsidR="001239DD" w:rsidRPr="00FC39AB" w:rsidRDefault="001239DD" w:rsidP="001239DD">
      <w:pPr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Žiadateľ</w:t>
      </w:r>
    </w:p>
    <w:p w14:paraId="4F6BF3E2" w14:textId="4F929DD8" w:rsidR="00F85FCF" w:rsidRPr="00FC39AB" w:rsidRDefault="00F85FCF" w:rsidP="005D065B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Administratívna kapacita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interná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3F34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722A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Požiadavky</w:t>
      </w:r>
      <w:r w:rsidR="007A0C4A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interných administratívnych rolí </w:t>
      </w:r>
      <w:r w:rsidR="0023722A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budú plnené</w:t>
      </w:r>
      <w:r w:rsidR="007A0C4A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C0A9A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internými zdrojmi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B7812CB" w14:textId="5C4D02A5" w:rsidR="00F85FCF" w:rsidRPr="00FC39AB" w:rsidRDefault="00F85FCF" w:rsidP="00AC2E28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Administratívna kapacita externá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0D21B6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Dodávateľsky sa </w:t>
      </w:r>
      <w:r w:rsidR="007A0C4A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plánujú zabezpečiť </w:t>
      </w:r>
      <w:r w:rsidR="00E50FE9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hlavné, podporné a prevádzkové</w:t>
      </w:r>
      <w:r w:rsidR="007A0C4A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aktivity</w:t>
      </w:r>
      <w:r w:rsidR="000D21B6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875F2F3" w14:textId="77777777" w:rsidR="00AC2E28" w:rsidRPr="00FC39AB" w:rsidRDefault="00AC2E28" w:rsidP="00AC2E28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Finančná kapacita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7E5B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66671C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A0C4A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Obstarávacie náklady a prevádzkové náklady počas trvania projektu budú financované z fondov EÚ, po skončení projektu bude prevádzka riešenia financovaná zo štátneho rozpočtu.</w:t>
      </w:r>
    </w:p>
    <w:p w14:paraId="6FF64232" w14:textId="3B900D5C" w:rsidR="00AC2E28" w:rsidRPr="00FC39AB" w:rsidRDefault="00AC2E28" w:rsidP="005D065B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Prevádzková kapacita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E50FE9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redpokladá sa</w:t>
      </w:r>
      <w:r w:rsidR="007A0C4A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zabezpečenie 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</w:t>
      </w:r>
      <w:r w:rsidR="007A0C4A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 riešenia </w:t>
      </w:r>
      <w:r w:rsidR="00E50FE9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externými kapacitami</w:t>
      </w:r>
      <w:r w:rsidR="007A0C4A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A2B657B" w14:textId="77777777" w:rsidR="007A0C4A" w:rsidRPr="00FC39AB" w:rsidRDefault="007A0C4A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E0D628" w14:textId="77777777" w:rsidR="004D7FFC" w:rsidRPr="00FC39AB" w:rsidRDefault="004D7FFC" w:rsidP="004D7FF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Vysvetlite hlavné ciele NP (stručne):</w:t>
      </w:r>
    </w:p>
    <w:p w14:paraId="75849864" w14:textId="77777777" w:rsidR="004D7FFC" w:rsidRPr="00FC39AB" w:rsidRDefault="004D7FFC" w:rsidP="004D7FFC">
      <w:pPr>
        <w:spacing w:after="0" w:line="240" w:lineRule="auto"/>
        <w:ind w:left="284" w:firstLine="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>(</w:t>
      </w:r>
      <w:r w:rsidRPr="00FC39AB">
        <w:rPr>
          <w:rFonts w:ascii="Times New Roman" w:eastAsia="Times New Roman" w:hAnsi="Times New Roman" w:cs="Calibri"/>
          <w:i/>
          <w:sz w:val="24"/>
          <w:szCs w:val="24"/>
          <w:lang w:eastAsia="sk-SK"/>
        </w:rPr>
        <w:t xml:space="preserve">očakávaný prínos k plneniu strategických dokumentov, k </w:t>
      </w:r>
      <w:proofErr w:type="spellStart"/>
      <w:r w:rsidRPr="00FC39AB">
        <w:rPr>
          <w:rFonts w:ascii="Times New Roman" w:eastAsia="Times New Roman" w:hAnsi="Times New Roman" w:cs="Calibri"/>
          <w:i/>
          <w:sz w:val="24"/>
          <w:szCs w:val="24"/>
          <w:lang w:eastAsia="sk-SK"/>
        </w:rPr>
        <w:t>socio-ekonomickému</w:t>
      </w:r>
      <w:proofErr w:type="spellEnd"/>
      <w:r w:rsidRPr="00FC39AB">
        <w:rPr>
          <w:rFonts w:ascii="Times New Roman" w:eastAsia="Times New Roman" w:hAnsi="Times New Roman" w:cs="Calibri"/>
          <w:i/>
          <w:sz w:val="24"/>
          <w:szCs w:val="24"/>
          <w:lang w:eastAsia="sk-SK"/>
        </w:rPr>
        <w:t xml:space="preserve"> rozvoju oblasti pokrytej OP, k dosiahnutiu cieľov a výsledkov príslušnej prioritnej osi/špecifického cieľa</w:t>
      </w: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7AD728B0" w14:textId="77777777" w:rsidR="00756D18" w:rsidRPr="00FC39AB" w:rsidRDefault="00756D18" w:rsidP="005D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613C6F" w14:textId="0213520F" w:rsidR="00AC2A19" w:rsidRPr="00FC39AB" w:rsidRDefault="000C662B" w:rsidP="000C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Hlavnými cieľmi projektu v zmysle reformného zámeru je zlepšenie smerovania kontrol, zvýšenie ich efektivity a rozšírenie možností informovania verejnosti, v dôsledku čoho bude možné preventívne presadzovať dodržiavanie zákonov, skôr ako dôjde k závažnému poškodeniu životného prostredia. Zjednodušením podávania podnetov cez mobilnú aplikáciu, zvýšením miery využitia výsledkov vlastnej činnosti ako aj využitia všetkých úradne dostupných údajov, vrátane </w:t>
      </w:r>
      <w:proofErr w:type="spellStart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fragmentovaných</w:t>
      </w:r>
      <w:proofErr w:type="spellEnd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údajov, spolu s racionalizáciou prevádzky IS sa</w:t>
      </w:r>
      <w:r w:rsidR="004F6EF5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dosiahne integrita výsledných dokumentov aj dostupnosť vykazovania výsledkov činnosti SIŽP, zjednoduší sa proces hlásenia meraní parametrov</w:t>
      </w:r>
      <w:r w:rsidR="004F6EF5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životného prostredia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, umožní sa</w:t>
      </w:r>
      <w:r w:rsidR="004F6EF5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publikovanie </w:t>
      </w:r>
      <w:proofErr w:type="spellStart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datasetov</w:t>
      </w:r>
      <w:proofErr w:type="spellEnd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zvolených otvorených dát, zvýši sa transparentnosť výberu kontrolovaných subjektov a vďaka tomu aj pri súčasnom nedostatku ľudských zdrojov pre</w:t>
      </w:r>
      <w:r w:rsidR="008C5DAD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odbornú činnosť, účinnosť a efektivita inšpekčnej, povoľovacej aj sankčnej činnosti významne narastie.</w:t>
      </w:r>
    </w:p>
    <w:p w14:paraId="41D6F6AE" w14:textId="77777777" w:rsidR="00644A4E" w:rsidRPr="00FC39AB" w:rsidRDefault="00644A4E" w:rsidP="00E5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CB946E" w14:textId="77777777" w:rsidR="00610432" w:rsidRPr="00FC39AB" w:rsidRDefault="00610432" w:rsidP="0061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Kódy intervencie, ku ktorým projekt prispieva:</w:t>
      </w:r>
    </w:p>
    <w:p w14:paraId="6A024FF2" w14:textId="59346871" w:rsidR="00610432" w:rsidRPr="00FC39AB" w:rsidRDefault="007015FF" w:rsidP="00EC7CD5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D15C81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ód intervencie 78: Služby a aplikácie elektronickej verejnej správy</w:t>
      </w:r>
      <w:r w:rsidR="00525B45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8E60DD0" w14:textId="77777777" w:rsidR="00610432" w:rsidRPr="00FC39AB" w:rsidRDefault="00610432" w:rsidP="005D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586036" w14:textId="77777777" w:rsidR="004D7FFC" w:rsidRPr="00FC39AB" w:rsidRDefault="004D7FFC" w:rsidP="004D7FF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Očakávaný stav a merateľné ciele</w:t>
      </w:r>
    </w:p>
    <w:p w14:paraId="206FFB6B" w14:textId="77777777" w:rsidR="00443B64" w:rsidRPr="00FC39AB" w:rsidRDefault="00443B64" w:rsidP="00443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margin" w:tblpY="23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68"/>
        <w:gridCol w:w="1418"/>
        <w:gridCol w:w="1842"/>
        <w:gridCol w:w="2127"/>
      </w:tblGrid>
      <w:tr w:rsidR="004D7FFC" w:rsidRPr="00FC39AB" w14:paraId="2498E562" w14:textId="77777777" w:rsidTr="00D6442B">
        <w:trPr>
          <w:cantSplit/>
          <w:trHeight w:val="632"/>
          <w:tblHeader/>
        </w:trPr>
        <w:tc>
          <w:tcPr>
            <w:tcW w:w="9493" w:type="dxa"/>
            <w:gridSpan w:val="5"/>
            <w:shd w:val="clear" w:color="auto" w:fill="CCC0D9"/>
            <w:vAlign w:val="center"/>
          </w:tcPr>
          <w:p w14:paraId="030CFED5" w14:textId="67B4066A" w:rsidR="004D7FFC" w:rsidRPr="00FC39AB" w:rsidRDefault="004D7FFC" w:rsidP="007015FF">
            <w:pPr>
              <w:keepNext/>
              <w:keepLines/>
              <w:tabs>
                <w:tab w:val="left" w:pos="12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Hlk499724610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tejto časti popíšte očakávané výsledky projektu s konkrétnym prínosom vo vzťahu k</w:t>
            </w:r>
            <w:r w:rsidR="00410A31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rozvoju oblasti pokrytej operačným programom a zrealizovaniu aktivít. V tabuľke nižšie uveďte projektové ukazovatele a iné údaje. Projektové ukazovatele musia byť definované tak, aby</w:t>
            </w:r>
            <w:r w:rsidR="007015FF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odrážali výstupy/výsledky projektu a predstavovali kvantifikáciu toho, čo</w:t>
            </w:r>
            <w:r w:rsidR="00410A31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</w:t>
            </w:r>
            <w:r w:rsidR="00410A31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realizáciou aktivít za požadované výdavky dosiahne.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id="7"/>
            </w:r>
          </w:p>
        </w:tc>
      </w:tr>
      <w:tr w:rsidR="004D7FFC" w:rsidRPr="00FC39AB" w14:paraId="0F7D8CA7" w14:textId="77777777" w:rsidTr="00D6442B">
        <w:trPr>
          <w:cantSplit/>
          <w:trHeight w:val="1039"/>
          <w:tblHeader/>
        </w:trPr>
        <w:tc>
          <w:tcPr>
            <w:tcW w:w="1838" w:type="dxa"/>
            <w:shd w:val="clear" w:color="auto" w:fill="CCC0D9"/>
            <w:vAlign w:val="center"/>
          </w:tcPr>
          <w:p w14:paraId="18A49655" w14:textId="77777777" w:rsidR="004D7FFC" w:rsidRPr="00FC39AB" w:rsidRDefault="004D7FFC" w:rsidP="00410A31">
            <w:pPr>
              <w:keepNext/>
              <w:keepLines/>
              <w:tabs>
                <w:tab w:val="left" w:pos="129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Cieľ národného projektu</w:t>
            </w:r>
          </w:p>
        </w:tc>
        <w:tc>
          <w:tcPr>
            <w:tcW w:w="2268" w:type="dxa"/>
            <w:shd w:val="clear" w:color="auto" w:fill="CCC0D9"/>
            <w:vAlign w:val="center"/>
          </w:tcPr>
          <w:p w14:paraId="7D27E80F" w14:textId="77777777" w:rsidR="004D7FFC" w:rsidRPr="00FC39AB" w:rsidRDefault="004D7FFC" w:rsidP="004D7FFC">
            <w:pPr>
              <w:keepNext/>
              <w:keepLines/>
              <w:tabs>
                <w:tab w:val="left" w:pos="129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Merateľný ukazovateľ</w:t>
            </w:r>
          </w:p>
        </w:tc>
        <w:tc>
          <w:tcPr>
            <w:tcW w:w="1418" w:type="dxa"/>
            <w:shd w:val="clear" w:color="auto" w:fill="CCC0D9"/>
            <w:vAlign w:val="center"/>
          </w:tcPr>
          <w:p w14:paraId="7EFE7597" w14:textId="77777777" w:rsidR="004D7FFC" w:rsidRPr="00FC39AB" w:rsidRDefault="004D7FFC" w:rsidP="004D7FFC">
            <w:pPr>
              <w:keepNext/>
              <w:keepLines/>
              <w:tabs>
                <w:tab w:val="left" w:pos="129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Indikatívna cieľová hodnota</w:t>
            </w:r>
          </w:p>
        </w:tc>
        <w:tc>
          <w:tcPr>
            <w:tcW w:w="1842" w:type="dxa"/>
            <w:shd w:val="clear" w:color="auto" w:fill="CCC0D9"/>
          </w:tcPr>
          <w:p w14:paraId="02F222A9" w14:textId="77777777" w:rsidR="004D7FFC" w:rsidRPr="00FC39AB" w:rsidRDefault="004D7FFC" w:rsidP="004D7FFC">
            <w:pPr>
              <w:keepNext/>
              <w:keepLines/>
              <w:tabs>
                <w:tab w:val="left" w:pos="129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Aktivita projektu</w:t>
            </w:r>
          </w:p>
        </w:tc>
        <w:tc>
          <w:tcPr>
            <w:tcW w:w="2127" w:type="dxa"/>
            <w:shd w:val="clear" w:color="auto" w:fill="CCC0D9"/>
          </w:tcPr>
          <w:p w14:paraId="1E286A2A" w14:textId="77777777" w:rsidR="004D7FFC" w:rsidRPr="00FC39AB" w:rsidRDefault="004D7FFC" w:rsidP="004D7FFC">
            <w:pPr>
              <w:keepNext/>
              <w:keepLines/>
              <w:tabs>
                <w:tab w:val="left" w:pos="129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Súvisiaci programový ukazovateľ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id="8"/>
            </w:r>
          </w:p>
        </w:tc>
      </w:tr>
      <w:tr w:rsidR="001E38C5" w:rsidRPr="00FC39AB" w14:paraId="5A8BFA75" w14:textId="77777777" w:rsidTr="00322C5A">
        <w:trPr>
          <w:cantSplit/>
          <w:trHeight w:val="406"/>
        </w:trPr>
        <w:tc>
          <w:tcPr>
            <w:tcW w:w="1838" w:type="dxa"/>
            <w:vAlign w:val="center"/>
          </w:tcPr>
          <w:p w14:paraId="5E89A068" w14:textId="4CD81E36" w:rsidR="001E38C5" w:rsidRPr="00FC39AB" w:rsidRDefault="00455F16" w:rsidP="001E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7.7. </w:t>
            </w:r>
            <w:r w:rsidR="001E38C5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Umožnenie modernizácie a racionalizácie verejnej správy IKT prostriedkami</w:t>
            </w:r>
          </w:p>
        </w:tc>
        <w:tc>
          <w:tcPr>
            <w:tcW w:w="2268" w:type="dxa"/>
          </w:tcPr>
          <w:p w14:paraId="60DBA965" w14:textId="464D89CF" w:rsidR="001E38C5" w:rsidRPr="00FC39AB" w:rsidDel="00D95B89" w:rsidRDefault="001E38C5" w:rsidP="001E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Počet nových optimalizovaných úsekov verejnej správy</w:t>
            </w:r>
          </w:p>
        </w:tc>
        <w:tc>
          <w:tcPr>
            <w:tcW w:w="1418" w:type="dxa"/>
          </w:tcPr>
          <w:p w14:paraId="65FE6BF2" w14:textId="27ACAD55" w:rsidR="001E38C5" w:rsidRPr="00FC39AB" w:rsidDel="00D95B89" w:rsidRDefault="001E38C5" w:rsidP="001E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42" w:type="dxa"/>
          </w:tcPr>
          <w:p w14:paraId="1C6CBA2B" w14:textId="08C9B7F1" w:rsidR="001E38C5" w:rsidRPr="00FC39AB" w:rsidRDefault="001E38C5" w:rsidP="001E38C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Analýza a dizajn Nákup HW a krabicovéh</w:t>
            </w:r>
            <w:r w:rsidR="00455F16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 softvéru Implementácia Testovanie Nasadenie</w:t>
            </w:r>
          </w:p>
        </w:tc>
        <w:tc>
          <w:tcPr>
            <w:tcW w:w="2127" w:type="dxa"/>
            <w:vAlign w:val="center"/>
          </w:tcPr>
          <w:p w14:paraId="370F21AF" w14:textId="710E052A" w:rsidR="001E38C5" w:rsidRPr="00FC39AB" w:rsidRDefault="001E38C5" w:rsidP="001E38C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Počet nových optimalizovaných úsekov verejnej správy</w:t>
            </w:r>
          </w:p>
        </w:tc>
      </w:tr>
      <w:tr w:rsidR="00455F16" w:rsidRPr="00FC39AB" w14:paraId="39F43E39" w14:textId="77777777" w:rsidTr="00455F16">
        <w:trPr>
          <w:cantSplit/>
          <w:trHeight w:val="406"/>
        </w:trPr>
        <w:tc>
          <w:tcPr>
            <w:tcW w:w="1838" w:type="dxa"/>
            <w:vAlign w:val="center"/>
          </w:tcPr>
          <w:p w14:paraId="0AC243DE" w14:textId="538B1404" w:rsidR="00455F16" w:rsidRPr="00FC39AB" w:rsidRDefault="00455F16" w:rsidP="0045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7.4. Zvýšenie kvality, štandardu a dostupnosti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eGovernment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služieb pre občanov</w:t>
            </w:r>
          </w:p>
        </w:tc>
        <w:tc>
          <w:tcPr>
            <w:tcW w:w="2268" w:type="dxa"/>
          </w:tcPr>
          <w:p w14:paraId="59B259C3" w14:textId="1CB01516" w:rsidR="00455F16" w:rsidRPr="00FC39AB" w:rsidRDefault="00455F16" w:rsidP="0045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Počet dodatočných elektronických služieb pre občanov, ktoré je možné riešiť mobilnou aplikáciou</w:t>
            </w:r>
          </w:p>
        </w:tc>
        <w:tc>
          <w:tcPr>
            <w:tcW w:w="1418" w:type="dxa"/>
          </w:tcPr>
          <w:p w14:paraId="2A2A7DEF" w14:textId="2A25BFDD" w:rsidR="00455F16" w:rsidRPr="00FC39AB" w:rsidRDefault="00455F16" w:rsidP="0045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42" w:type="dxa"/>
          </w:tcPr>
          <w:p w14:paraId="3B2E0979" w14:textId="384063A4" w:rsidR="00455F16" w:rsidRPr="00FC39AB" w:rsidRDefault="00455F16" w:rsidP="0045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Analýza a dizajn Nákup HW a krabicového o softvéru Implementácia Testovanie Nasadenie</w:t>
            </w:r>
          </w:p>
        </w:tc>
        <w:tc>
          <w:tcPr>
            <w:tcW w:w="2127" w:type="dxa"/>
          </w:tcPr>
          <w:p w14:paraId="702E4404" w14:textId="1A5E91D0" w:rsidR="00455F16" w:rsidRPr="00FC39AB" w:rsidRDefault="00455F16" w:rsidP="00455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Počet dodatočných elektronických služieb pre občanov, ktoré je možné riešiť mobilnou aplikáciou</w:t>
            </w:r>
          </w:p>
        </w:tc>
      </w:tr>
      <w:tr w:rsidR="00455F16" w:rsidRPr="00FC39AB" w14:paraId="39B4CFEF" w14:textId="77777777" w:rsidTr="00D6442B">
        <w:trPr>
          <w:cantSplit/>
          <w:trHeight w:val="447"/>
        </w:trPr>
        <w:tc>
          <w:tcPr>
            <w:tcW w:w="9493" w:type="dxa"/>
            <w:gridSpan w:val="5"/>
            <w:shd w:val="clear" w:color="auto" w:fill="CCC0D9"/>
          </w:tcPr>
          <w:p w14:paraId="2CB86985" w14:textId="77777777" w:rsidR="00455F16" w:rsidRPr="00FC39AB" w:rsidRDefault="00455F16" w:rsidP="0045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údaje, ktorými je možné sledovať napĺňanie cieľov národného projektu (ak relevantné)</w:t>
            </w:r>
          </w:p>
        </w:tc>
      </w:tr>
      <w:tr w:rsidR="00455F16" w:rsidRPr="00FC39AB" w14:paraId="3570B544" w14:textId="77777777" w:rsidTr="00D6442B">
        <w:trPr>
          <w:cantSplit/>
          <w:trHeight w:val="447"/>
        </w:trPr>
        <w:tc>
          <w:tcPr>
            <w:tcW w:w="1838" w:type="dxa"/>
            <w:shd w:val="clear" w:color="auto" w:fill="CCC0D9"/>
            <w:vAlign w:val="center"/>
          </w:tcPr>
          <w:p w14:paraId="6899DBA3" w14:textId="77777777" w:rsidR="00455F16" w:rsidRPr="00FC39AB" w:rsidRDefault="00455F16" w:rsidP="0045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Cieľ národného projektu</w:t>
            </w:r>
          </w:p>
        </w:tc>
        <w:tc>
          <w:tcPr>
            <w:tcW w:w="2268" w:type="dxa"/>
            <w:shd w:val="clear" w:color="auto" w:fill="CCC0D9"/>
            <w:vAlign w:val="center"/>
          </w:tcPr>
          <w:p w14:paraId="718BF7EB" w14:textId="77777777" w:rsidR="00455F16" w:rsidRPr="00FC39AB" w:rsidRDefault="00455F16" w:rsidP="0045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Ukazovateľ</w:t>
            </w:r>
          </w:p>
        </w:tc>
        <w:tc>
          <w:tcPr>
            <w:tcW w:w="1418" w:type="dxa"/>
            <w:shd w:val="clear" w:color="auto" w:fill="CCC0D9"/>
          </w:tcPr>
          <w:p w14:paraId="21B2EE4E" w14:textId="77777777" w:rsidR="00455F16" w:rsidRPr="00FC39AB" w:rsidRDefault="00455F16" w:rsidP="0045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Indikatívna cieľová hodnota</w:t>
            </w:r>
          </w:p>
        </w:tc>
        <w:tc>
          <w:tcPr>
            <w:tcW w:w="3969" w:type="dxa"/>
            <w:gridSpan w:val="2"/>
            <w:shd w:val="clear" w:color="auto" w:fill="CCC0D9"/>
          </w:tcPr>
          <w:p w14:paraId="686CEA98" w14:textId="77777777" w:rsidR="00455F16" w:rsidRPr="00FC39AB" w:rsidRDefault="00455F16" w:rsidP="0045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Aktivita projektu</w:t>
            </w:r>
          </w:p>
        </w:tc>
      </w:tr>
      <w:tr w:rsidR="00455F16" w:rsidRPr="00FC39AB" w14:paraId="67CC8A3E" w14:textId="77777777" w:rsidTr="00322C5A">
        <w:trPr>
          <w:cantSplit/>
          <w:trHeight w:val="447"/>
        </w:trPr>
        <w:tc>
          <w:tcPr>
            <w:tcW w:w="1838" w:type="dxa"/>
            <w:shd w:val="clear" w:color="auto" w:fill="auto"/>
            <w:vAlign w:val="center"/>
          </w:tcPr>
          <w:p w14:paraId="3FE6C8B2" w14:textId="6C290259" w:rsidR="00455F16" w:rsidRPr="00FC39AB" w:rsidRDefault="00455F16" w:rsidP="0045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  <w:shd w:val="clear" w:color="auto" w:fill="auto"/>
          </w:tcPr>
          <w:p w14:paraId="13AE2A16" w14:textId="5A32DBD9" w:rsidR="00455F16" w:rsidRPr="00FC39AB" w:rsidRDefault="00455F16" w:rsidP="0045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</w:tcPr>
          <w:p w14:paraId="1B91442B" w14:textId="0AF0FD52" w:rsidR="00455F16" w:rsidRPr="00FC39AB" w:rsidRDefault="00455F16" w:rsidP="0045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shd w:val="clear" w:color="auto" w:fill="auto"/>
          </w:tcPr>
          <w:p w14:paraId="2EF0E59C" w14:textId="254609C1" w:rsidR="00455F16" w:rsidRPr="00FC39AB" w:rsidRDefault="00455F16" w:rsidP="0045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vAlign w:val="center"/>
          </w:tcPr>
          <w:p w14:paraId="6AA57027" w14:textId="77A237DD" w:rsidR="00455F16" w:rsidRPr="00FC39AB" w:rsidRDefault="00455F16" w:rsidP="0045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bookmarkEnd w:id="0"/>
    <w:p w14:paraId="2CE052F4" w14:textId="77777777" w:rsidR="004D7FFC" w:rsidRPr="00FC39AB" w:rsidRDefault="004D7FFC" w:rsidP="004D7F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 prípade viacerých merateľných ukazovateľov, doplňte údaje za každý merateľný ukazovateľ.</w:t>
      </w:r>
    </w:p>
    <w:p w14:paraId="421C2B48" w14:textId="77777777" w:rsidR="007A6054" w:rsidRPr="00FC39AB" w:rsidRDefault="007A6054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B01C23" w14:textId="77777777" w:rsidR="007A6054" w:rsidRPr="00FC39AB" w:rsidRDefault="007A6054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GoBack"/>
      <w:bookmarkEnd w:id="1"/>
    </w:p>
    <w:p w14:paraId="5476F286" w14:textId="77777777" w:rsidR="004D7FFC" w:rsidRPr="00FC39AB" w:rsidRDefault="004D7FFC" w:rsidP="004D7FF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Bližší popis merateľných ukazovateľov.</w:t>
      </w:r>
      <w:r w:rsidRPr="00FC39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footnoteReference w:id="9"/>
      </w:r>
    </w:p>
    <w:p w14:paraId="7242E57B" w14:textId="77777777" w:rsidR="00415668" w:rsidRPr="00FC39AB" w:rsidRDefault="00415668" w:rsidP="004D7F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607"/>
      </w:tblGrid>
      <w:tr w:rsidR="00415668" w:rsidRPr="00FC39AB" w14:paraId="0FFB4D76" w14:textId="77777777" w:rsidTr="0099792A">
        <w:trPr>
          <w:cantSplit/>
          <w:tblHeader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B6A819E" w14:textId="77777777" w:rsidR="00415668" w:rsidRPr="00FC39AB" w:rsidRDefault="00415668" w:rsidP="00EB1E4F">
            <w:pPr>
              <w:spacing w:before="60" w:after="120" w:line="240" w:lineRule="auto"/>
              <w:jc w:val="both"/>
              <w:rPr>
                <w:rFonts w:ascii="Verdana" w:eastAsia="Times New Roman" w:hAnsi="Verdana" w:cs="Times New Roman"/>
                <w:sz w:val="20"/>
                <w:szCs w:val="36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Predmetná časť sa</w:t>
            </w:r>
            <w:r w:rsidR="0099792A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týka projektových ukazovateľov</w:t>
            </w:r>
          </w:p>
        </w:tc>
      </w:tr>
      <w:tr w:rsidR="000761DF" w:rsidRPr="00FC39AB" w14:paraId="1C0D9B27" w14:textId="77777777" w:rsidTr="0099792A">
        <w:trPr>
          <w:cantSplit/>
          <w:tblHeader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36D77126" w14:textId="6E5EB8AC" w:rsidR="000761DF" w:rsidRPr="00FC39AB" w:rsidRDefault="000761DF" w:rsidP="00C730A6">
            <w:pPr>
              <w:keepNext/>
              <w:tabs>
                <w:tab w:val="left" w:pos="129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merateľného ukazovateľa</w:t>
            </w:r>
          </w:p>
        </w:tc>
        <w:tc>
          <w:tcPr>
            <w:tcW w:w="66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8B03" w14:textId="36971A90" w:rsidR="000761DF" w:rsidRPr="00FC39AB" w:rsidRDefault="00E45D9C" w:rsidP="00920733">
            <w:pPr>
              <w:keepLines/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Počet nových optimalizovaných úsekov verejnej správy</w:t>
            </w:r>
          </w:p>
        </w:tc>
      </w:tr>
      <w:tr w:rsidR="00915978" w:rsidRPr="00FC39AB" w14:paraId="0750AB8C" w14:textId="77777777" w:rsidTr="00455F16">
        <w:trPr>
          <w:cantSplit/>
          <w:tblHeader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5105EF53" w14:textId="77777777" w:rsidR="00915978" w:rsidRPr="00FC39AB" w:rsidRDefault="00915978" w:rsidP="00915978">
            <w:pPr>
              <w:keepNext/>
              <w:tabs>
                <w:tab w:val="left" w:pos="129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Akým spôsobom sa budú získavať dáta?</w:t>
            </w:r>
          </w:p>
        </w:tc>
        <w:tc>
          <w:tcPr>
            <w:tcW w:w="6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B30EC" w14:textId="5A31A6A1" w:rsidR="00915978" w:rsidRPr="00FC39AB" w:rsidRDefault="00915978" w:rsidP="00915978">
            <w:pPr>
              <w:keepLines/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 xml:space="preserve">Evidencia v rámci Centrálneho </w:t>
            </w:r>
            <w:proofErr w:type="spellStart"/>
            <w:r w:rsidR="002938BA" w:rsidRPr="00FC39AB">
              <w:rPr>
                <w:rFonts w:ascii="Times New Roman" w:hAnsi="Times New Roman" w:cs="Times New Roman"/>
                <w:sz w:val="24"/>
                <w:szCs w:val="24"/>
              </w:rPr>
              <w:t>meta</w:t>
            </w: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informačného</w:t>
            </w:r>
            <w:proofErr w:type="spellEnd"/>
            <w:r w:rsidRPr="00FC39AB">
              <w:rPr>
                <w:rFonts w:ascii="Times New Roman" w:hAnsi="Times New Roman" w:cs="Times New Roman"/>
                <w:sz w:val="24"/>
                <w:szCs w:val="24"/>
              </w:rPr>
              <w:t xml:space="preserve"> systému verejnej správy</w:t>
            </w:r>
          </w:p>
        </w:tc>
      </w:tr>
      <w:tr w:rsidR="00915978" w:rsidRPr="00FC39AB" w14:paraId="460AA10D" w14:textId="77777777" w:rsidTr="00455F16">
        <w:trPr>
          <w:cantSplit/>
          <w:tblHeader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3AC94FA6" w14:textId="7241B8FE" w:rsidR="00915978" w:rsidRPr="00FC39AB" w:rsidRDefault="00915978" w:rsidP="00915978">
            <w:pPr>
              <w:keepNext/>
              <w:tabs>
                <w:tab w:val="left" w:pos="129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merateľného ukazovateľa</w:t>
            </w:r>
          </w:p>
        </w:tc>
        <w:tc>
          <w:tcPr>
            <w:tcW w:w="6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15444" w14:textId="0513544E" w:rsidR="00915978" w:rsidRPr="00FC39AB" w:rsidRDefault="00915978" w:rsidP="00915978">
            <w:pPr>
              <w:keepLines/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Počet dodatočných elektronických služieb pre občanov, ktoré je možné riešiť mobilnou aplikáciou</w:t>
            </w:r>
          </w:p>
        </w:tc>
      </w:tr>
      <w:tr w:rsidR="00915978" w:rsidRPr="00FC39AB" w14:paraId="353DC29D" w14:textId="77777777" w:rsidTr="0099792A">
        <w:trPr>
          <w:cantSplit/>
          <w:tblHeader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CC0D9"/>
            <w:vAlign w:val="center"/>
          </w:tcPr>
          <w:p w14:paraId="3B3D1904" w14:textId="5E62CF73" w:rsidR="00915978" w:rsidRPr="00FC39AB" w:rsidRDefault="00915978" w:rsidP="00915978">
            <w:pPr>
              <w:keepNext/>
              <w:tabs>
                <w:tab w:val="left" w:pos="129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Akým spôsobom sa budú získavať dáta?</w:t>
            </w:r>
          </w:p>
        </w:tc>
        <w:tc>
          <w:tcPr>
            <w:tcW w:w="660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940F" w14:textId="7FF4D561" w:rsidR="00915978" w:rsidRPr="00FC39AB" w:rsidRDefault="002938BA" w:rsidP="00915978">
            <w:pPr>
              <w:keepLines/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9AB">
              <w:rPr>
                <w:rFonts w:ascii="Times New Roman" w:hAnsi="Times New Roman" w:cs="Times New Roman"/>
                <w:sz w:val="24"/>
                <w:szCs w:val="24"/>
              </w:rPr>
              <w:t xml:space="preserve">Evidencia v rámci Centrálneho </w:t>
            </w:r>
            <w:proofErr w:type="spellStart"/>
            <w:r w:rsidRPr="00FC39AB">
              <w:rPr>
                <w:rFonts w:ascii="Times New Roman" w:hAnsi="Times New Roman" w:cs="Times New Roman"/>
                <w:sz w:val="24"/>
                <w:szCs w:val="24"/>
              </w:rPr>
              <w:t>metainformačného</w:t>
            </w:r>
            <w:proofErr w:type="spellEnd"/>
            <w:r w:rsidRPr="00FC39AB">
              <w:rPr>
                <w:rFonts w:ascii="Times New Roman" w:hAnsi="Times New Roman" w:cs="Times New Roman"/>
                <w:sz w:val="24"/>
                <w:szCs w:val="24"/>
              </w:rPr>
              <w:t xml:space="preserve"> systému verejnej správy</w:t>
            </w:r>
          </w:p>
        </w:tc>
      </w:tr>
    </w:tbl>
    <w:p w14:paraId="32324DFA" w14:textId="77777777" w:rsidR="004D7FFC" w:rsidRPr="00FC39AB" w:rsidRDefault="004D7FFC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 prípade viacerých merateľných ukazovateľov, doplňte údaje za každý z nich.</w:t>
      </w:r>
    </w:p>
    <w:p w14:paraId="4EE6332E" w14:textId="77777777" w:rsidR="004D7FFC" w:rsidRPr="00FC39AB" w:rsidRDefault="004D7FFC" w:rsidP="004D7F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704650DD" w14:textId="77777777" w:rsidR="004D7FFC" w:rsidRPr="00FC39AB" w:rsidRDefault="004D7FFC" w:rsidP="004D7F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Očakávané dopady</w:t>
      </w:r>
    </w:p>
    <w:p w14:paraId="29342B14" w14:textId="77777777" w:rsidR="007A6054" w:rsidRPr="00FC39AB" w:rsidRDefault="007A6054" w:rsidP="007A60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76"/>
        <w:gridCol w:w="3663"/>
      </w:tblGrid>
      <w:tr w:rsidR="004D7FFC" w:rsidRPr="00FC39AB" w14:paraId="4F1FEDD8" w14:textId="77777777" w:rsidTr="004D7FFC">
        <w:trPr>
          <w:trHeight w:val="719"/>
        </w:trPr>
        <w:tc>
          <w:tcPr>
            <w:tcW w:w="9062" w:type="dxa"/>
            <w:gridSpan w:val="3"/>
            <w:shd w:val="clear" w:color="auto" w:fill="CCC0D9"/>
          </w:tcPr>
          <w:p w14:paraId="0F15B726" w14:textId="77777777" w:rsidR="004D7FFC" w:rsidRPr="00FC39AB" w:rsidRDefault="004D7FFC" w:rsidP="004D7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Zoznam prínosov a prípadných iných dopadov, ktoré sa dajú očakávať 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pre jednotlivé cieľové skupiny</w:t>
            </w:r>
          </w:p>
        </w:tc>
      </w:tr>
      <w:tr w:rsidR="004D7FFC" w:rsidRPr="00FC39AB" w14:paraId="294FA745" w14:textId="77777777" w:rsidTr="004D7FFC">
        <w:tc>
          <w:tcPr>
            <w:tcW w:w="3823" w:type="dxa"/>
            <w:shd w:val="clear" w:color="auto" w:fill="CCC0D9"/>
          </w:tcPr>
          <w:p w14:paraId="16F4446C" w14:textId="77777777" w:rsidR="004D7FFC" w:rsidRPr="00FC39AB" w:rsidRDefault="00D96B3B" w:rsidP="004D7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Dopady</w:t>
            </w:r>
          </w:p>
        </w:tc>
        <w:tc>
          <w:tcPr>
            <w:tcW w:w="1576" w:type="dxa"/>
          </w:tcPr>
          <w:p w14:paraId="33F1AB9E" w14:textId="77777777" w:rsidR="004D7FFC" w:rsidRPr="00FC39AB" w:rsidRDefault="004D7FFC" w:rsidP="004D7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Cieľová skupina (ak relevantné)</w:t>
            </w:r>
          </w:p>
        </w:tc>
        <w:tc>
          <w:tcPr>
            <w:tcW w:w="3663" w:type="dxa"/>
          </w:tcPr>
          <w:p w14:paraId="595191B5" w14:textId="77777777" w:rsidR="004D7FFC" w:rsidRPr="00FC39AB" w:rsidRDefault="004D7FFC" w:rsidP="004D7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footnoteReference w:id="10"/>
            </w:r>
          </w:p>
        </w:tc>
      </w:tr>
      <w:tr w:rsidR="004D7FFC" w:rsidRPr="00FC39AB" w14:paraId="010FCADC" w14:textId="77777777" w:rsidTr="004D7FFC">
        <w:tc>
          <w:tcPr>
            <w:tcW w:w="3823" w:type="dxa"/>
            <w:shd w:val="clear" w:color="auto" w:fill="CCC0D9"/>
          </w:tcPr>
          <w:p w14:paraId="6FD0C5B9" w14:textId="38B5B2F5" w:rsidR="004D7FFC" w:rsidRPr="00FC39AB" w:rsidRDefault="00EC7CD5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Zvýšenie transparentnosti výberu kontrolovaných subjektov pomocou analýzy rizík</w:t>
            </w:r>
          </w:p>
        </w:tc>
        <w:tc>
          <w:tcPr>
            <w:tcW w:w="1576" w:type="dxa"/>
          </w:tcPr>
          <w:p w14:paraId="373E4B3C" w14:textId="7426C192" w:rsidR="004D7FFC" w:rsidRPr="00FC39AB" w:rsidRDefault="00B82E34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SIŽP</w:t>
            </w:r>
          </w:p>
        </w:tc>
        <w:tc>
          <w:tcPr>
            <w:tcW w:w="3663" w:type="dxa"/>
          </w:tcPr>
          <w:p w14:paraId="6BD90E8B" w14:textId="3E1AE1C1" w:rsidR="004D7FFC" w:rsidRPr="00FC39AB" w:rsidRDefault="00B82E34" w:rsidP="00012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Podiel kontrol so zistením porušenia predpisov (34%→40% kontrol, vypočítané vzorcom KPI = podiel kontrol so zistením 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porušenia predpisov ukončených v kalendárnom roku / počet všetkých kontrol ukončených v kalendárnom roku, na základe údajov výročnej správy SIŽP)</w:t>
            </w:r>
          </w:p>
        </w:tc>
      </w:tr>
      <w:tr w:rsidR="008E7E21" w:rsidRPr="00FC39AB" w14:paraId="64EBD0C7" w14:textId="77777777" w:rsidTr="004D7FFC">
        <w:tc>
          <w:tcPr>
            <w:tcW w:w="3823" w:type="dxa"/>
            <w:shd w:val="clear" w:color="auto" w:fill="CCC0D9"/>
          </w:tcPr>
          <w:p w14:paraId="55E5FDD0" w14:textId="4011EDEF" w:rsidR="008E7E21" w:rsidRPr="00FC39AB" w:rsidRDefault="00EC7CD5" w:rsidP="00EC7C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Zvýšenie dostupnosti vykazovania výsledkov inšpekčnej, povoľovacej a sankčnej činnosti</w:t>
            </w:r>
          </w:p>
        </w:tc>
        <w:tc>
          <w:tcPr>
            <w:tcW w:w="1576" w:type="dxa"/>
          </w:tcPr>
          <w:p w14:paraId="7346EEA0" w14:textId="579283E1" w:rsidR="00B82E34" w:rsidRPr="00FC39AB" w:rsidRDefault="00B82E34" w:rsidP="008E7E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Právnická 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/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fyzick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 osoba</w:t>
            </w:r>
          </w:p>
        </w:tc>
        <w:tc>
          <w:tcPr>
            <w:tcW w:w="3663" w:type="dxa"/>
          </w:tcPr>
          <w:p w14:paraId="033D622B" w14:textId="674F6B60" w:rsidR="008E7E21" w:rsidRPr="00FC39AB" w:rsidRDefault="00B82E34" w:rsidP="008E7E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Podiel výstupov inšpekčnej, povoľovacej a sankčnej činnosti zverejnených na verejnom portáli IS KSED (NA→100% výstupov)</w:t>
            </w:r>
          </w:p>
        </w:tc>
      </w:tr>
      <w:tr w:rsidR="008D3EF4" w:rsidRPr="00FC39AB" w14:paraId="0105E8A1" w14:textId="77777777" w:rsidTr="004D7FFC">
        <w:tc>
          <w:tcPr>
            <w:tcW w:w="3823" w:type="dxa"/>
            <w:shd w:val="clear" w:color="auto" w:fill="CCC0D9"/>
          </w:tcPr>
          <w:p w14:paraId="45B5553C" w14:textId="21096DE2" w:rsidR="008D3EF4" w:rsidRPr="00FC39AB" w:rsidRDefault="00EC7CD5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Zjednodušenie hlásenia meraní parametrov ŽP</w:t>
            </w:r>
          </w:p>
        </w:tc>
        <w:tc>
          <w:tcPr>
            <w:tcW w:w="1576" w:type="dxa"/>
          </w:tcPr>
          <w:p w14:paraId="5893C1B3" w14:textId="3FBE6C51" w:rsidR="008D3EF4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OVM a iné štátne inštitúcie</w:t>
            </w:r>
          </w:p>
        </w:tc>
        <w:tc>
          <w:tcPr>
            <w:tcW w:w="3663" w:type="dxa"/>
          </w:tcPr>
          <w:p w14:paraId="377AE73D" w14:textId="1BAAFEC8" w:rsidR="008D3EF4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Podiel poskytovateľov meraní pripojených on-line rozhraním (NA→100%)</w:t>
            </w:r>
          </w:p>
        </w:tc>
      </w:tr>
      <w:tr w:rsidR="00EC7CD5" w:rsidRPr="00FC39AB" w14:paraId="3154B705" w14:textId="77777777" w:rsidTr="004D7FFC">
        <w:tc>
          <w:tcPr>
            <w:tcW w:w="3823" w:type="dxa"/>
            <w:shd w:val="clear" w:color="auto" w:fill="CCC0D9"/>
          </w:tcPr>
          <w:p w14:paraId="69067E84" w14:textId="0148545D" w:rsidR="00EC7CD5" w:rsidRPr="00FC39AB" w:rsidRDefault="00EC7CD5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Zjednodušenie podávania podnetov cez mobilnú aplikáciu</w:t>
            </w:r>
          </w:p>
        </w:tc>
        <w:tc>
          <w:tcPr>
            <w:tcW w:w="1576" w:type="dxa"/>
          </w:tcPr>
          <w:p w14:paraId="393074FB" w14:textId="4DBCBF91" w:rsidR="00EC7CD5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Právnická 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/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fyzick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 osoba</w:t>
            </w:r>
          </w:p>
        </w:tc>
        <w:tc>
          <w:tcPr>
            <w:tcW w:w="3663" w:type="dxa"/>
          </w:tcPr>
          <w:p w14:paraId="130491A9" w14:textId="0DED975B" w:rsidR="00EC7CD5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sk-SK"/>
              </w:rPr>
              <w:t>Pomer podaní cez podateľňu voči podaniam cez aplikáciu (NA→75% podaní)</w:t>
            </w:r>
          </w:p>
        </w:tc>
      </w:tr>
      <w:tr w:rsidR="00EC7CD5" w:rsidRPr="00FC39AB" w14:paraId="649D3641" w14:textId="77777777" w:rsidTr="004D7FFC">
        <w:tc>
          <w:tcPr>
            <w:tcW w:w="3823" w:type="dxa"/>
            <w:shd w:val="clear" w:color="auto" w:fill="CCC0D9"/>
          </w:tcPr>
          <w:p w14:paraId="19FDFE41" w14:textId="3974A82C" w:rsidR="00EC7CD5" w:rsidRPr="00FC39AB" w:rsidRDefault="00EC7CD5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Zvýšenie účinnosti a efektívnosti inšpekčnej, povoľovacej a sankčnej činnosti</w:t>
            </w:r>
          </w:p>
        </w:tc>
        <w:tc>
          <w:tcPr>
            <w:tcW w:w="1576" w:type="dxa"/>
          </w:tcPr>
          <w:p w14:paraId="400FC95F" w14:textId="7F110C0D" w:rsidR="00EC7CD5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SIŽP</w:t>
            </w:r>
          </w:p>
        </w:tc>
        <w:tc>
          <w:tcPr>
            <w:tcW w:w="3663" w:type="dxa"/>
          </w:tcPr>
          <w:p w14:paraId="38AD1F79" w14:textId="4F187D94" w:rsidR="00EC7CD5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</w:pP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Počet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vykonaných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kontrol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(2659→4000)</w:t>
            </w:r>
          </w:p>
        </w:tc>
      </w:tr>
      <w:tr w:rsidR="00EC7CD5" w:rsidRPr="00FC39AB" w14:paraId="74DB9F0C" w14:textId="77777777" w:rsidTr="004D7FFC">
        <w:tc>
          <w:tcPr>
            <w:tcW w:w="3823" w:type="dxa"/>
            <w:shd w:val="clear" w:color="auto" w:fill="CCC0D9"/>
          </w:tcPr>
          <w:p w14:paraId="7E373885" w14:textId="060F71FF" w:rsidR="00EC7CD5" w:rsidRPr="00FC39AB" w:rsidRDefault="00EC7CD5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Zvýšenie integrity výstupov</w:t>
            </w:r>
          </w:p>
        </w:tc>
        <w:tc>
          <w:tcPr>
            <w:tcW w:w="1576" w:type="dxa"/>
          </w:tcPr>
          <w:p w14:paraId="27804F83" w14:textId="76E53F1D" w:rsidR="00EC7CD5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SIŽP</w:t>
            </w:r>
          </w:p>
        </w:tc>
        <w:tc>
          <w:tcPr>
            <w:tcW w:w="3663" w:type="dxa"/>
          </w:tcPr>
          <w:p w14:paraId="00771E8C" w14:textId="40D1A112" w:rsidR="00EC7CD5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</w:pP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Počet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incidentov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ohrozujúcich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integritu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výstupov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(NA→0%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incidentov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)</w:t>
            </w:r>
          </w:p>
        </w:tc>
      </w:tr>
      <w:tr w:rsidR="00EC7CD5" w:rsidRPr="00FC39AB" w14:paraId="1E816DBB" w14:textId="77777777" w:rsidTr="004D7FFC">
        <w:tc>
          <w:tcPr>
            <w:tcW w:w="3823" w:type="dxa"/>
            <w:shd w:val="clear" w:color="auto" w:fill="CCC0D9"/>
          </w:tcPr>
          <w:p w14:paraId="2871866C" w14:textId="7980EA66" w:rsidR="00EC7CD5" w:rsidRPr="00FC39AB" w:rsidRDefault="00EC7CD5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Zlepšenie dostupnosti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fragmentovaných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(lokálne spravovaných) údajov</w:t>
            </w:r>
          </w:p>
        </w:tc>
        <w:tc>
          <w:tcPr>
            <w:tcW w:w="1576" w:type="dxa"/>
          </w:tcPr>
          <w:p w14:paraId="263EB461" w14:textId="1C66C63D" w:rsidR="00EC7CD5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SIŽP</w:t>
            </w:r>
          </w:p>
        </w:tc>
        <w:tc>
          <w:tcPr>
            <w:tcW w:w="3663" w:type="dxa"/>
          </w:tcPr>
          <w:p w14:paraId="4E9AAA3B" w14:textId="42F6E31A" w:rsidR="00EC7CD5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</w:pP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Počet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vykonaných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kontrol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(2659→4000)</w:t>
            </w:r>
          </w:p>
        </w:tc>
      </w:tr>
      <w:tr w:rsidR="00EC7CD5" w:rsidRPr="00FC39AB" w14:paraId="4EA6538A" w14:textId="77777777" w:rsidTr="004D7FFC">
        <w:tc>
          <w:tcPr>
            <w:tcW w:w="3823" w:type="dxa"/>
            <w:shd w:val="clear" w:color="auto" w:fill="CCC0D9"/>
          </w:tcPr>
          <w:p w14:paraId="665B5FAB" w14:textId="5B1EC1B2" w:rsidR="00EC7CD5" w:rsidRPr="00FC39AB" w:rsidRDefault="00EC7CD5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Racionalizácia prevádzky IS</w:t>
            </w:r>
          </w:p>
        </w:tc>
        <w:tc>
          <w:tcPr>
            <w:tcW w:w="1576" w:type="dxa"/>
          </w:tcPr>
          <w:p w14:paraId="5A7220ED" w14:textId="167374AD" w:rsidR="00EC7CD5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SIŽP</w:t>
            </w:r>
          </w:p>
        </w:tc>
        <w:tc>
          <w:tcPr>
            <w:tcW w:w="3663" w:type="dxa"/>
          </w:tcPr>
          <w:p w14:paraId="6765FCF6" w14:textId="37F7F24E" w:rsidR="00EC7CD5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</w:pP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Počet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vykonaných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>kontrol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 (2659→4000)</w:t>
            </w:r>
          </w:p>
        </w:tc>
      </w:tr>
      <w:tr w:rsidR="00EC7CD5" w:rsidRPr="00FC39AB" w14:paraId="5932E68F" w14:textId="77777777" w:rsidTr="004D7FFC">
        <w:tc>
          <w:tcPr>
            <w:tcW w:w="3823" w:type="dxa"/>
            <w:shd w:val="clear" w:color="auto" w:fill="CCC0D9"/>
          </w:tcPr>
          <w:p w14:paraId="5DDFBDBB" w14:textId="221BF330" w:rsidR="00EC7CD5" w:rsidRPr="00FC39AB" w:rsidRDefault="00EC7CD5" w:rsidP="00B82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Zvýšenie miery využitia údajov o</w:t>
            </w:r>
            <w:r w:rsidR="00B82E34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subjekte už existujúcich u iných OVM</w:t>
            </w:r>
          </w:p>
        </w:tc>
        <w:tc>
          <w:tcPr>
            <w:tcW w:w="1576" w:type="dxa"/>
          </w:tcPr>
          <w:p w14:paraId="6B7E9EA6" w14:textId="781A1D1E" w:rsidR="00EC7CD5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OVM a iné štátne inštitúcie</w:t>
            </w:r>
          </w:p>
        </w:tc>
        <w:tc>
          <w:tcPr>
            <w:tcW w:w="3663" w:type="dxa"/>
          </w:tcPr>
          <w:p w14:paraId="73993FD6" w14:textId="4F504813" w:rsidR="00EC7CD5" w:rsidRPr="00FC39AB" w:rsidRDefault="00B82E34" w:rsidP="008D3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prístupov k systémom iných OVM cez rozhranie (NA→4000)</w:t>
            </w:r>
          </w:p>
        </w:tc>
      </w:tr>
    </w:tbl>
    <w:p w14:paraId="0306A4D3" w14:textId="77777777" w:rsidR="004D7FFC" w:rsidRPr="00FC39AB" w:rsidRDefault="004D7FFC" w:rsidP="004D7F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 prípade viacerých cieľových skupín, doplňte dopady na každú z nich.</w:t>
      </w:r>
    </w:p>
    <w:p w14:paraId="06FF9DB3" w14:textId="77777777" w:rsidR="00B66F51" w:rsidRPr="00FC39AB" w:rsidRDefault="00B66F51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6C0B24" w14:textId="77777777" w:rsidR="004D7FFC" w:rsidRPr="00FC39AB" w:rsidRDefault="004D7FFC" w:rsidP="004D7F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Aktivity</w:t>
      </w:r>
    </w:p>
    <w:p w14:paraId="5EF43453" w14:textId="5F8E22BE" w:rsidR="004D7FFC" w:rsidRPr="00FC39AB" w:rsidRDefault="004D7FFC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a) Uv</w:t>
      </w:r>
      <w:r w:rsidR="008E5D4C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eďte detailnejší popis aktivít.</w:t>
      </w:r>
    </w:p>
    <w:p w14:paraId="59884298" w14:textId="77777777" w:rsidR="004D7FFC" w:rsidRPr="00FC39AB" w:rsidRDefault="004D7FFC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6FB761" w14:textId="77777777" w:rsidR="00E0000D" w:rsidRPr="00FC39AB" w:rsidRDefault="00E0000D" w:rsidP="005D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_Hlk499632889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zmysle platnej Príručky pre žiadateľa pôjde o nasledujúce </w:t>
      </w:r>
      <w:r w:rsidR="00235A9E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skupiny 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aktiv</w:t>
      </w:r>
      <w:r w:rsidR="00235A9E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ít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7DAEF3C" w14:textId="77777777" w:rsidR="006E1028" w:rsidRPr="00FC39AB" w:rsidRDefault="006E1028" w:rsidP="006B3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0C6A8D" w14:textId="4542F6AF" w:rsidR="00530876" w:rsidRPr="00FC39AB" w:rsidRDefault="008E5D4C" w:rsidP="008E5D4C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Analýza a dizajn</w:t>
      </w:r>
    </w:p>
    <w:p w14:paraId="6682843E" w14:textId="77777777" w:rsidR="008E5D4C" w:rsidRPr="00FC39AB" w:rsidRDefault="008E5D4C" w:rsidP="00340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0932A" w14:textId="466B0C65" w:rsidR="00530876" w:rsidRPr="00FC39AB" w:rsidRDefault="008E5D4C" w:rsidP="008E5D4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Skupina aktivít Analýza a dizajn z</w:t>
      </w:r>
      <w:r w:rsidR="00530876" w:rsidRPr="00FC39AB">
        <w:rPr>
          <w:rFonts w:ascii="Times New Roman" w:hAnsi="Times New Roman" w:cs="Times New Roman"/>
          <w:sz w:val="24"/>
          <w:szCs w:val="24"/>
        </w:rPr>
        <w:t>abezpečí:</w:t>
      </w:r>
    </w:p>
    <w:p w14:paraId="4D0553EC" w14:textId="3741E42A" w:rsidR="00530876" w:rsidRPr="00FC39AB" w:rsidRDefault="00530876" w:rsidP="008E5D4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detailnú identifikáciu všetkých relevantných požiadaviek (funkčných a</w:t>
      </w:r>
      <w:r w:rsidR="004F6EF5" w:rsidRPr="00FC39AB">
        <w:rPr>
          <w:rFonts w:ascii="Times New Roman" w:hAnsi="Times New Roman" w:cs="Times New Roman"/>
          <w:sz w:val="24"/>
          <w:szCs w:val="24"/>
        </w:rPr>
        <w:t> </w:t>
      </w:r>
      <w:r w:rsidRPr="00FC39AB">
        <w:rPr>
          <w:rFonts w:ascii="Times New Roman" w:hAnsi="Times New Roman" w:cs="Times New Roman"/>
          <w:sz w:val="24"/>
          <w:szCs w:val="24"/>
        </w:rPr>
        <w:t>nefunkčných) a obmedzení,</w:t>
      </w:r>
    </w:p>
    <w:p w14:paraId="60716CA9" w14:textId="27B0D6CE" w:rsidR="00530876" w:rsidRPr="00FC39AB" w:rsidRDefault="00530876" w:rsidP="008E5D4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analýzu architektúry existujúcich systémov, procesov a požiadaviek na</w:t>
      </w:r>
      <w:r w:rsidR="004F6EF5" w:rsidRPr="00FC39AB">
        <w:rPr>
          <w:rFonts w:ascii="Times New Roman" w:hAnsi="Times New Roman" w:cs="Times New Roman"/>
          <w:sz w:val="24"/>
          <w:szCs w:val="24"/>
        </w:rPr>
        <w:t> </w:t>
      </w:r>
      <w:r w:rsidRPr="00FC39AB">
        <w:rPr>
          <w:rFonts w:ascii="Times New Roman" w:hAnsi="Times New Roman" w:cs="Times New Roman"/>
          <w:sz w:val="24"/>
          <w:szCs w:val="24"/>
        </w:rPr>
        <w:t>prostredia, t.</w:t>
      </w:r>
      <w:r w:rsidR="004F6EF5" w:rsidRPr="00FC39AB">
        <w:rPr>
          <w:rFonts w:ascii="Times New Roman" w:hAnsi="Times New Roman" w:cs="Times New Roman"/>
          <w:sz w:val="24"/>
          <w:szCs w:val="24"/>
        </w:rPr>
        <w:t> </w:t>
      </w:r>
      <w:r w:rsidRPr="00FC39AB">
        <w:rPr>
          <w:rFonts w:ascii="Times New Roman" w:hAnsi="Times New Roman" w:cs="Times New Roman"/>
          <w:sz w:val="24"/>
          <w:szCs w:val="24"/>
        </w:rPr>
        <w:t>j.</w:t>
      </w:r>
      <w:r w:rsidR="008E5D4C" w:rsidRPr="00FC39AB">
        <w:rPr>
          <w:rFonts w:ascii="Times New Roman" w:hAnsi="Times New Roman" w:cs="Times New Roman"/>
          <w:sz w:val="24"/>
          <w:szCs w:val="24"/>
        </w:rPr>
        <w:t> </w:t>
      </w:r>
      <w:r w:rsidRPr="00FC39AB">
        <w:rPr>
          <w:rFonts w:ascii="Times New Roman" w:hAnsi="Times New Roman" w:cs="Times New Roman"/>
          <w:sz w:val="24"/>
          <w:szCs w:val="24"/>
        </w:rPr>
        <w:t>dodanie detailnej špecifikácie cieľovej biznis, IS a</w:t>
      </w:r>
      <w:r w:rsidR="004F6EF5" w:rsidRPr="00FC39AB">
        <w:rPr>
          <w:rFonts w:ascii="Times New Roman" w:hAnsi="Times New Roman" w:cs="Times New Roman"/>
          <w:sz w:val="24"/>
          <w:szCs w:val="24"/>
        </w:rPr>
        <w:t> </w:t>
      </w:r>
      <w:r w:rsidRPr="00FC39AB">
        <w:rPr>
          <w:rFonts w:ascii="Times New Roman" w:hAnsi="Times New Roman" w:cs="Times New Roman"/>
          <w:sz w:val="24"/>
          <w:szCs w:val="24"/>
        </w:rPr>
        <w:t>technologickej architektúry vzhľadom na existujúce prostredie,</w:t>
      </w:r>
    </w:p>
    <w:p w14:paraId="7A6266C2" w14:textId="0A5F9C59" w:rsidR="00530876" w:rsidRPr="00FC39AB" w:rsidRDefault="00530876" w:rsidP="008E5D4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 xml:space="preserve">navrhnutie metodiky testovania a </w:t>
      </w:r>
      <w:r w:rsidR="004F6EF5" w:rsidRPr="00FC39AB">
        <w:rPr>
          <w:rFonts w:ascii="Times New Roman" w:hAnsi="Times New Roman" w:cs="Times New Roman"/>
          <w:sz w:val="24"/>
          <w:szCs w:val="24"/>
        </w:rPr>
        <w:t>detailných testovacích scenárov.</w:t>
      </w:r>
    </w:p>
    <w:p w14:paraId="6579BD4A" w14:textId="77777777" w:rsidR="004F6EF5" w:rsidRPr="00FC39AB" w:rsidRDefault="004F6EF5" w:rsidP="004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D18BD" w14:textId="7532A6EB" w:rsidR="00530876" w:rsidRPr="00FC39AB" w:rsidRDefault="00530876" w:rsidP="008E5D4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Analýza tiež poskytne návrh metodiky integračných a akceptačných testov a</w:t>
      </w:r>
      <w:r w:rsidR="004F6EF5" w:rsidRPr="00FC39AB">
        <w:rPr>
          <w:rFonts w:ascii="Times New Roman" w:hAnsi="Times New Roman" w:cs="Times New Roman"/>
          <w:sz w:val="24"/>
          <w:szCs w:val="24"/>
        </w:rPr>
        <w:t> </w:t>
      </w:r>
      <w:r w:rsidRPr="00FC39AB">
        <w:rPr>
          <w:rFonts w:ascii="Times New Roman" w:hAnsi="Times New Roman" w:cs="Times New Roman"/>
          <w:sz w:val="24"/>
          <w:szCs w:val="24"/>
        </w:rPr>
        <w:t>konkrétnych testovacích scenárov.</w:t>
      </w:r>
    </w:p>
    <w:p w14:paraId="68B1D51D" w14:textId="77777777" w:rsidR="008E5D4C" w:rsidRPr="00FC39AB" w:rsidRDefault="008E5D4C" w:rsidP="00530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0B2F4" w14:textId="2990FBD9" w:rsidR="00530876" w:rsidRPr="00FC39AB" w:rsidRDefault="00530876" w:rsidP="008E5D4C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Nákup HW a krabicového softvéru</w:t>
      </w:r>
    </w:p>
    <w:p w14:paraId="36B99A29" w14:textId="77777777" w:rsidR="00F13172" w:rsidRPr="00FC39AB" w:rsidRDefault="00F13172" w:rsidP="00F1317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CE72C8" w14:textId="75EA4081" w:rsidR="00F13172" w:rsidRPr="00FC39AB" w:rsidRDefault="00F13172" w:rsidP="00F1317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V rámci tejto aktivity sa zabezpečí nákup nevyhnutného hardvérového vybavenia pre realizáciu projektu ako aj krabicového softvéru pre následné budovanie informačného systému.</w:t>
      </w:r>
    </w:p>
    <w:p w14:paraId="3A1A7A31" w14:textId="77777777" w:rsidR="00F13172" w:rsidRPr="00FC39AB" w:rsidRDefault="00F13172" w:rsidP="00F13172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B0B3FD" w14:textId="684A6769" w:rsidR="00530876" w:rsidRPr="00FC39AB" w:rsidRDefault="00530876" w:rsidP="00F13172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Implementácia zabezpečí:</w:t>
      </w:r>
    </w:p>
    <w:p w14:paraId="58F5A835" w14:textId="77777777" w:rsidR="00530876" w:rsidRPr="00FC39AB" w:rsidRDefault="00530876" w:rsidP="008E5D4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prípravu technologických prostredí,</w:t>
      </w:r>
    </w:p>
    <w:p w14:paraId="6342D50A" w14:textId="77777777" w:rsidR="00530876" w:rsidRPr="00FC39AB" w:rsidRDefault="00530876" w:rsidP="008E5D4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implementáciu funkcionality jednotlivých výstupov,</w:t>
      </w:r>
    </w:p>
    <w:p w14:paraId="15F3CE08" w14:textId="77777777" w:rsidR="00530876" w:rsidRPr="00FC39AB" w:rsidRDefault="00530876" w:rsidP="008E5D4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integráciu výstupov/produktov,</w:t>
      </w:r>
    </w:p>
    <w:p w14:paraId="4533C3E0" w14:textId="77777777" w:rsidR="00530876" w:rsidRPr="00FC39AB" w:rsidRDefault="00530876" w:rsidP="008E5D4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akceptáciu produktov,</w:t>
      </w:r>
    </w:p>
    <w:p w14:paraId="6DEE4057" w14:textId="77777777" w:rsidR="00530876" w:rsidRPr="00FC39AB" w:rsidRDefault="00530876" w:rsidP="008E5D4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dodanie dokumentácie (používateľskej, administrátorskej a pod.).</w:t>
      </w:r>
    </w:p>
    <w:p w14:paraId="6951810D" w14:textId="77777777" w:rsidR="00322C5A" w:rsidRPr="00FC39AB" w:rsidRDefault="00322C5A" w:rsidP="004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59871" w14:textId="77777777" w:rsidR="008F6BEC" w:rsidRPr="00FC39AB" w:rsidRDefault="00530876" w:rsidP="008F6BEC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Testovanie</w:t>
      </w:r>
    </w:p>
    <w:p w14:paraId="6320A172" w14:textId="77777777" w:rsidR="008F6BEC" w:rsidRPr="00FC39AB" w:rsidRDefault="008F6BEC" w:rsidP="008F6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DE045" w14:textId="1625C12A" w:rsidR="00530876" w:rsidRPr="00FC39AB" w:rsidRDefault="00530876" w:rsidP="008F6B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Vysokoúrovňová aktivita „testovanie“ sa zameriava na realizovanie funkčného i</w:t>
      </w:r>
      <w:r w:rsidR="004F6EF5" w:rsidRPr="00FC39AB">
        <w:rPr>
          <w:rFonts w:ascii="Times New Roman" w:hAnsi="Times New Roman" w:cs="Times New Roman"/>
          <w:sz w:val="24"/>
          <w:szCs w:val="24"/>
        </w:rPr>
        <w:t> </w:t>
      </w:r>
      <w:r w:rsidRPr="00FC39AB">
        <w:rPr>
          <w:rFonts w:ascii="Times New Roman" w:hAnsi="Times New Roman" w:cs="Times New Roman"/>
          <w:sz w:val="24"/>
          <w:szCs w:val="24"/>
        </w:rPr>
        <w:t>nefunkčného testovania.</w:t>
      </w:r>
      <w:r w:rsidR="008F6BEC" w:rsidRPr="00FC39AB">
        <w:rPr>
          <w:rFonts w:ascii="Times New Roman" w:hAnsi="Times New Roman" w:cs="Times New Roman"/>
          <w:sz w:val="24"/>
          <w:szCs w:val="24"/>
        </w:rPr>
        <w:t xml:space="preserve"> </w:t>
      </w:r>
      <w:r w:rsidRPr="00FC39AB">
        <w:rPr>
          <w:rFonts w:ascii="Times New Roman" w:hAnsi="Times New Roman" w:cs="Times New Roman"/>
          <w:sz w:val="24"/>
          <w:szCs w:val="24"/>
        </w:rPr>
        <w:t>Bude realizované funkčné aj nefunkčné testovanie, vrátane:</w:t>
      </w:r>
    </w:p>
    <w:p w14:paraId="05416D8B" w14:textId="6683ED76" w:rsidR="00530876" w:rsidRPr="00FC39AB" w:rsidRDefault="00530876" w:rsidP="008F6BE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UNIT testovania</w:t>
      </w:r>
      <w:r w:rsidR="008F6BEC" w:rsidRPr="00FC39AB">
        <w:rPr>
          <w:rFonts w:ascii="Times New Roman" w:hAnsi="Times New Roman" w:cs="Times New Roman"/>
          <w:sz w:val="24"/>
          <w:szCs w:val="24"/>
        </w:rPr>
        <w:t>,</w:t>
      </w:r>
    </w:p>
    <w:p w14:paraId="3A1422FF" w14:textId="3FC5FC39" w:rsidR="00530876" w:rsidRPr="00FC39AB" w:rsidRDefault="008F6BEC" w:rsidP="008F6BE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i</w:t>
      </w:r>
      <w:r w:rsidR="00530876" w:rsidRPr="00FC39AB">
        <w:rPr>
          <w:rFonts w:ascii="Times New Roman" w:hAnsi="Times New Roman" w:cs="Times New Roman"/>
          <w:sz w:val="24"/>
          <w:szCs w:val="24"/>
        </w:rPr>
        <w:t>ntegračného testovania</w:t>
      </w:r>
      <w:r w:rsidRPr="00FC39AB">
        <w:rPr>
          <w:rFonts w:ascii="Times New Roman" w:hAnsi="Times New Roman" w:cs="Times New Roman"/>
          <w:sz w:val="24"/>
          <w:szCs w:val="24"/>
        </w:rPr>
        <w:t>,</w:t>
      </w:r>
    </w:p>
    <w:p w14:paraId="318F5EA3" w14:textId="5FFBDF81" w:rsidR="00530876" w:rsidRPr="00FC39AB" w:rsidRDefault="008F6BEC" w:rsidP="008F6BE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r</w:t>
      </w:r>
      <w:r w:rsidR="00530876" w:rsidRPr="00FC39AB">
        <w:rPr>
          <w:rFonts w:ascii="Times New Roman" w:hAnsi="Times New Roman" w:cs="Times New Roman"/>
          <w:sz w:val="24"/>
          <w:szCs w:val="24"/>
        </w:rPr>
        <w:t>egresného testovania</w:t>
      </w:r>
      <w:r w:rsidRPr="00FC39AB">
        <w:rPr>
          <w:rFonts w:ascii="Times New Roman" w:hAnsi="Times New Roman" w:cs="Times New Roman"/>
          <w:sz w:val="24"/>
          <w:szCs w:val="24"/>
        </w:rPr>
        <w:t>,</w:t>
      </w:r>
    </w:p>
    <w:p w14:paraId="642E706C" w14:textId="70B519AB" w:rsidR="00530876" w:rsidRPr="00FC39AB" w:rsidRDefault="008F6BEC" w:rsidP="008F6BE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a</w:t>
      </w:r>
      <w:r w:rsidR="00530876" w:rsidRPr="00FC39AB">
        <w:rPr>
          <w:rFonts w:ascii="Times New Roman" w:hAnsi="Times New Roman" w:cs="Times New Roman"/>
          <w:sz w:val="24"/>
          <w:szCs w:val="24"/>
        </w:rPr>
        <w:t>kceptačného testovania</w:t>
      </w:r>
      <w:r w:rsidRPr="00FC39AB">
        <w:rPr>
          <w:rFonts w:ascii="Times New Roman" w:hAnsi="Times New Roman" w:cs="Times New Roman"/>
          <w:sz w:val="24"/>
          <w:szCs w:val="24"/>
        </w:rPr>
        <w:t>,</w:t>
      </w:r>
    </w:p>
    <w:p w14:paraId="649BDDF0" w14:textId="0B0E73C5" w:rsidR="00530876" w:rsidRPr="00FC39AB" w:rsidRDefault="008F6BEC" w:rsidP="008F6BE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t</w:t>
      </w:r>
      <w:r w:rsidR="00530876" w:rsidRPr="00FC39AB">
        <w:rPr>
          <w:rFonts w:ascii="Times New Roman" w:hAnsi="Times New Roman" w:cs="Times New Roman"/>
          <w:sz w:val="24"/>
          <w:szCs w:val="24"/>
        </w:rPr>
        <w:t>estovania pripravenosti na nasadenie do produkčného prostredia.</w:t>
      </w:r>
    </w:p>
    <w:p w14:paraId="695221C7" w14:textId="77777777" w:rsidR="008F6BEC" w:rsidRPr="00FC39AB" w:rsidRDefault="008F6BEC" w:rsidP="008F6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5793A" w14:textId="77777777" w:rsidR="007A6054" w:rsidRPr="00FC39AB" w:rsidRDefault="007A6054" w:rsidP="008F6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C6600" w14:textId="43BEF7FA" w:rsidR="00530876" w:rsidRPr="00FC39AB" w:rsidRDefault="00530876" w:rsidP="008F6BEC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Nasadenie</w:t>
      </w:r>
    </w:p>
    <w:p w14:paraId="67CF8BD4" w14:textId="77777777" w:rsidR="008F6BEC" w:rsidRPr="00FC39AB" w:rsidRDefault="008F6BEC" w:rsidP="008F6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1D4BC" w14:textId="77777777" w:rsidR="00530876" w:rsidRPr="00FC39AB" w:rsidRDefault="00530876" w:rsidP="008F6BE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Aktivita zabezpečí nasadenie riešenia do prevádzkového prostredia.</w:t>
      </w:r>
    </w:p>
    <w:p w14:paraId="1BEAF5C2" w14:textId="77777777" w:rsidR="00530876" w:rsidRPr="00FC39AB" w:rsidRDefault="00530876" w:rsidP="005308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2D591" w14:textId="77777777" w:rsidR="00530876" w:rsidRPr="00FC39AB" w:rsidRDefault="00530876" w:rsidP="008F6BEC">
      <w:pPr>
        <w:pStyle w:val="Odsekzoznamu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Podporné aktivity:</w:t>
      </w:r>
    </w:p>
    <w:p w14:paraId="2E9A1D0D" w14:textId="77777777" w:rsidR="008F6BEC" w:rsidRPr="00FC39AB" w:rsidRDefault="008F6BEC" w:rsidP="008F6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99A45" w14:textId="77777777" w:rsidR="008F6BEC" w:rsidRPr="00FC39AB" w:rsidRDefault="008F6BEC" w:rsidP="008F6BE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Riadenie projektu</w:t>
      </w:r>
    </w:p>
    <w:p w14:paraId="27206002" w14:textId="77777777" w:rsidR="008F6BEC" w:rsidRPr="00FC39AB" w:rsidRDefault="008F6BEC" w:rsidP="008F6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84EBF" w14:textId="2A31C6B0" w:rsidR="008F6BEC" w:rsidRPr="00FC39AB" w:rsidRDefault="00530876" w:rsidP="008F6BE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Pokrýva oblasť projektového riadenia a riadenia kvality prijímateľa, integráciu jednotlivých čiastkových projektov vyplývajúci</w:t>
      </w:r>
      <w:r w:rsidR="004F6EF5" w:rsidRPr="00FC39AB">
        <w:rPr>
          <w:rFonts w:ascii="Times New Roman" w:hAnsi="Times New Roman" w:cs="Times New Roman"/>
          <w:sz w:val="24"/>
          <w:szCs w:val="24"/>
        </w:rPr>
        <w:t>ch zo štúdie uskutočniteľnosti.</w:t>
      </w:r>
    </w:p>
    <w:p w14:paraId="1784D1ED" w14:textId="77777777" w:rsidR="008F6BEC" w:rsidRPr="00FC39AB" w:rsidRDefault="008F6BEC" w:rsidP="004F6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8F4EE" w14:textId="77777777" w:rsidR="00530876" w:rsidRPr="00FC39AB" w:rsidRDefault="00530876" w:rsidP="008F6BEC">
      <w:pPr>
        <w:pStyle w:val="Odsekzoznamu"/>
        <w:numPr>
          <w:ilvl w:val="1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Publicita a informovanosť</w:t>
      </w:r>
    </w:p>
    <w:p w14:paraId="1FDDE09F" w14:textId="77777777" w:rsidR="008F6BEC" w:rsidRPr="00FC39AB" w:rsidRDefault="008F6BEC" w:rsidP="008F6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92B86" w14:textId="77777777" w:rsidR="00530876" w:rsidRPr="00FC39AB" w:rsidRDefault="00530876" w:rsidP="008F6BE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39AB">
        <w:rPr>
          <w:rFonts w:ascii="Times New Roman" w:hAnsi="Times New Roman" w:cs="Times New Roman"/>
          <w:sz w:val="24"/>
          <w:szCs w:val="24"/>
        </w:rPr>
        <w:t>Vykonávanie opatrení v oblasti informovania a komunikácie podľa aktuálne platného Manuálu pre informovanie a komunikáciu pre prijímateľov OPII 2014 – 2020 prijímateľa.</w:t>
      </w:r>
    </w:p>
    <w:p w14:paraId="06D2260D" w14:textId="77777777" w:rsidR="00E0000D" w:rsidRPr="00FC39AB" w:rsidRDefault="00E0000D" w:rsidP="00E00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2"/>
    <w:p w14:paraId="75412F68" w14:textId="76D0ACDB" w:rsidR="004D7FFC" w:rsidRPr="00FC39AB" w:rsidRDefault="004D7FFC" w:rsidP="00322C5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V tabuľke nižšie uveďte </w:t>
      </w:r>
      <w:r w:rsidRPr="00FC39AB">
        <w:rPr>
          <w:rFonts w:ascii="Times New Roman" w:eastAsia="Calibri" w:hAnsi="Times New Roman" w:cs="Times New Roman"/>
          <w:bCs/>
          <w:iCs/>
          <w:sz w:val="24"/>
          <w:szCs w:val="24"/>
          <w:lang w:eastAsia="sk-SK"/>
        </w:rPr>
        <w:t>rámcový popis aktivít, ktoré budú v rámci identifikovaného národného projektu realizované a ich prepojenie so špecifickými cieľmi.</w:t>
      </w:r>
    </w:p>
    <w:p w14:paraId="549D8925" w14:textId="77777777" w:rsidR="009A3B96" w:rsidRPr="00FC39AB" w:rsidRDefault="009A3B96" w:rsidP="00322C5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sk-SK"/>
        </w:rPr>
      </w:pPr>
    </w:p>
    <w:tbl>
      <w:tblPr>
        <w:tblStyle w:val="Mriekatabuky"/>
        <w:tblpPr w:leftFromText="141" w:rightFromText="141" w:vertAnchor="text" w:horzAnchor="margin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2516"/>
        <w:gridCol w:w="2182"/>
        <w:gridCol w:w="2182"/>
        <w:gridCol w:w="2182"/>
      </w:tblGrid>
      <w:tr w:rsidR="004D7FFC" w:rsidRPr="00FC39AB" w14:paraId="46C2082C" w14:textId="77777777" w:rsidTr="004D7FFC">
        <w:tc>
          <w:tcPr>
            <w:tcW w:w="2516" w:type="dxa"/>
            <w:shd w:val="clear" w:color="auto" w:fill="CCC0D9"/>
          </w:tcPr>
          <w:p w14:paraId="60C499D9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aktivity</w:t>
            </w:r>
          </w:p>
        </w:tc>
        <w:tc>
          <w:tcPr>
            <w:tcW w:w="2182" w:type="dxa"/>
          </w:tcPr>
          <w:p w14:paraId="714EF76A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Cieľ, ktorý má byť aktivitou dosiahnutý (podľa sekcie </w:t>
            </w:r>
            <w:r w:rsidRPr="00FC3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Očakávaný stav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182" w:type="dxa"/>
          </w:tcPr>
          <w:p w14:paraId="7D7698B0" w14:textId="6C326A2E" w:rsidR="004D7FFC" w:rsidRPr="00FC39AB" w:rsidRDefault="004D7FFC" w:rsidP="0032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Spôsob realizácie (žiadateľ a/alebo</w:t>
            </w:r>
            <w:r w:rsidR="00322C5A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partner)</w:t>
            </w:r>
          </w:p>
        </w:tc>
        <w:tc>
          <w:tcPr>
            <w:tcW w:w="2182" w:type="dxa"/>
          </w:tcPr>
          <w:p w14:paraId="49CC8974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Predpokladaný počet mesiacov realizácie aktivity</w:t>
            </w:r>
          </w:p>
        </w:tc>
      </w:tr>
      <w:tr w:rsidR="005E4853" w:rsidRPr="00FC39AB" w:rsidDel="00B92DD0" w14:paraId="0320631E" w14:textId="77777777" w:rsidTr="00455F16">
        <w:trPr>
          <w:trHeight w:val="132"/>
        </w:trPr>
        <w:tc>
          <w:tcPr>
            <w:tcW w:w="2516" w:type="dxa"/>
            <w:shd w:val="clear" w:color="auto" w:fill="CCC0D9"/>
          </w:tcPr>
          <w:tbl>
            <w:tblPr>
              <w:tblW w:w="2360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</w:tblGrid>
            <w:tr w:rsidR="00097F7F" w:rsidRPr="00FC39AB" w14:paraId="1289C776" w14:textId="77777777" w:rsidTr="00097F7F">
              <w:trPr>
                <w:trHeight w:val="450"/>
              </w:trPr>
              <w:tc>
                <w:tcPr>
                  <w:tcW w:w="2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4BEB2D" w14:textId="1E96CE82" w:rsidR="00097F7F" w:rsidRPr="00FC39AB" w:rsidRDefault="008406EB" w:rsidP="000B710A">
                  <w:pPr>
                    <w:framePr w:hSpace="141" w:wrap="around" w:vAnchor="text" w:hAnchor="margin" w:y="198"/>
                    <w:spacing w:after="0" w:line="240" w:lineRule="auto"/>
                    <w:outlineLvl w:val="1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FC3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Analýza a</w:t>
                  </w:r>
                  <w:r w:rsidR="002E7429" w:rsidRPr="00FC3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FC3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dizajn</w:t>
                  </w:r>
                </w:p>
              </w:tc>
            </w:tr>
            <w:tr w:rsidR="00097F7F" w:rsidRPr="00FC39AB" w14:paraId="3740AC36" w14:textId="77777777" w:rsidTr="00097F7F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B5B07E" w14:textId="77777777" w:rsidR="00097F7F" w:rsidRPr="00FC39AB" w:rsidRDefault="00097F7F" w:rsidP="000B710A">
                  <w:pPr>
                    <w:framePr w:hSpace="141" w:wrap="around" w:vAnchor="text" w:hAnchor="margin" w:y="198"/>
                    <w:spacing w:after="0" w:line="240" w:lineRule="auto"/>
                    <w:outlineLvl w:val="0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  <w:tr w:rsidR="00097F7F" w:rsidRPr="00FC39AB" w14:paraId="03A48346" w14:textId="77777777" w:rsidTr="00097F7F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1B76AC" w14:textId="77777777" w:rsidR="00097F7F" w:rsidRPr="00FC39AB" w:rsidRDefault="00097F7F" w:rsidP="000B710A">
                  <w:pPr>
                    <w:framePr w:hSpace="141" w:wrap="around" w:vAnchor="text" w:hAnchor="margin" w:y="198"/>
                    <w:spacing w:after="0" w:line="240" w:lineRule="auto"/>
                    <w:outlineLvl w:val="0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  <w:tr w:rsidR="00097F7F" w:rsidRPr="00FC39AB" w14:paraId="70534FD3" w14:textId="77777777" w:rsidTr="00097F7F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4CBF4A" w14:textId="77777777" w:rsidR="00097F7F" w:rsidRPr="00FC39AB" w:rsidRDefault="00097F7F" w:rsidP="000B710A">
                  <w:pPr>
                    <w:framePr w:hSpace="141" w:wrap="around" w:vAnchor="text" w:hAnchor="margin" w:y="198"/>
                    <w:spacing w:after="0" w:line="240" w:lineRule="auto"/>
                    <w:outlineLvl w:val="0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  <w:tr w:rsidR="00097F7F" w:rsidRPr="00FC39AB" w14:paraId="39CA5BF7" w14:textId="77777777" w:rsidTr="00097F7F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2A389B" w14:textId="77777777" w:rsidR="00097F7F" w:rsidRPr="00FC39AB" w:rsidRDefault="00097F7F" w:rsidP="000B710A">
                  <w:pPr>
                    <w:framePr w:hSpace="141" w:wrap="around" w:vAnchor="text" w:hAnchor="margin" w:y="198"/>
                    <w:spacing w:after="0" w:line="240" w:lineRule="auto"/>
                    <w:outlineLvl w:val="0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  <w:tr w:rsidR="00097F7F" w:rsidRPr="00FC39AB" w14:paraId="0A8C2C55" w14:textId="77777777" w:rsidTr="00097F7F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36DB6A" w14:textId="77777777" w:rsidR="00097F7F" w:rsidRPr="00FC39AB" w:rsidRDefault="00097F7F" w:rsidP="000B710A">
                  <w:pPr>
                    <w:framePr w:hSpace="141" w:wrap="around" w:vAnchor="text" w:hAnchor="margin" w:y="198"/>
                    <w:spacing w:after="0" w:line="240" w:lineRule="auto"/>
                    <w:outlineLvl w:val="0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  <w:tr w:rsidR="00097F7F" w:rsidRPr="00FC39AB" w14:paraId="50242C04" w14:textId="77777777" w:rsidTr="00097F7F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8D5C8C" w14:textId="77777777" w:rsidR="00097F7F" w:rsidRPr="00FC39AB" w:rsidRDefault="00097F7F" w:rsidP="000B710A">
                  <w:pPr>
                    <w:framePr w:hSpace="141" w:wrap="around" w:vAnchor="text" w:hAnchor="margin" w:y="198"/>
                    <w:spacing w:after="0" w:line="240" w:lineRule="auto"/>
                    <w:outlineLvl w:val="0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  <w:tr w:rsidR="00097F7F" w:rsidRPr="00FC39AB" w14:paraId="66B25697" w14:textId="77777777" w:rsidTr="00097F7F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B98865" w14:textId="77777777" w:rsidR="00097F7F" w:rsidRPr="00FC39AB" w:rsidRDefault="00097F7F" w:rsidP="000B710A">
                  <w:pPr>
                    <w:framePr w:hSpace="141" w:wrap="around" w:vAnchor="text" w:hAnchor="margin" w:y="198"/>
                    <w:spacing w:after="0" w:line="240" w:lineRule="auto"/>
                    <w:outlineLvl w:val="0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  <w:tr w:rsidR="00097F7F" w:rsidRPr="00FC39AB" w14:paraId="366CF3FE" w14:textId="77777777" w:rsidTr="00097F7F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B0DF22" w14:textId="77777777" w:rsidR="00097F7F" w:rsidRPr="00FC39AB" w:rsidRDefault="00097F7F" w:rsidP="000B710A">
                  <w:pPr>
                    <w:framePr w:hSpace="141" w:wrap="around" w:vAnchor="text" w:hAnchor="margin" w:y="198"/>
                    <w:spacing w:after="0" w:line="240" w:lineRule="auto"/>
                    <w:outlineLvl w:val="0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  <w:tr w:rsidR="00097F7F" w:rsidRPr="00FC39AB" w14:paraId="028E9F1A" w14:textId="77777777" w:rsidTr="00097F7F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D92C8C" w14:textId="77777777" w:rsidR="00097F7F" w:rsidRPr="00FC39AB" w:rsidRDefault="00097F7F" w:rsidP="000B710A">
                  <w:pPr>
                    <w:framePr w:hSpace="141" w:wrap="around" w:vAnchor="text" w:hAnchor="margin" w:y="198"/>
                    <w:spacing w:after="0" w:line="240" w:lineRule="auto"/>
                    <w:outlineLvl w:val="0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14:paraId="5C888F9D" w14:textId="4E67E869" w:rsidR="005E4853" w:rsidRPr="00FC39AB" w:rsidRDefault="005E4853" w:rsidP="000B7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82" w:type="dxa"/>
          </w:tcPr>
          <w:p w14:paraId="7DFA56DE" w14:textId="1996C911" w:rsidR="005E4853" w:rsidRPr="00FC39AB" w:rsidRDefault="00D87E5A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Vytvorenie </w:t>
            </w:r>
            <w:r w:rsidR="00C53905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agendové</w:t>
            </w:r>
            <w:r w:rsidR="00E243D9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 IS KSED</w:t>
            </w:r>
          </w:p>
        </w:tc>
        <w:tc>
          <w:tcPr>
            <w:tcW w:w="2182" w:type="dxa"/>
          </w:tcPr>
          <w:p w14:paraId="3E6D5387" w14:textId="444EFA16" w:rsidR="00D87E5A" w:rsidRPr="00FC39AB" w:rsidRDefault="005E4853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Žiadateľ</w:t>
            </w:r>
          </w:p>
        </w:tc>
        <w:tc>
          <w:tcPr>
            <w:tcW w:w="2182" w:type="dxa"/>
          </w:tcPr>
          <w:p w14:paraId="032A26D5" w14:textId="3028F543" w:rsidR="005E4853" w:rsidRPr="00FC39AB" w:rsidRDefault="00E31C58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</w:tr>
      <w:tr w:rsidR="00097F7F" w:rsidRPr="00FC39AB" w:rsidDel="00B92DD0" w14:paraId="6F03B22A" w14:textId="77777777" w:rsidTr="00455F16">
        <w:trPr>
          <w:trHeight w:val="2472"/>
        </w:trPr>
        <w:tc>
          <w:tcPr>
            <w:tcW w:w="2516" w:type="dxa"/>
            <w:shd w:val="clear" w:color="auto" w:fill="CCC0D9"/>
          </w:tcPr>
          <w:tbl>
            <w:tblPr>
              <w:tblW w:w="2360" w:type="dxa"/>
              <w:tblLayout w:type="fixed"/>
              <w:tblLook w:val="04A0" w:firstRow="1" w:lastRow="0" w:firstColumn="1" w:lastColumn="0" w:noHBand="0" w:noVBand="1"/>
            </w:tblPr>
            <w:tblGrid>
              <w:gridCol w:w="2360"/>
            </w:tblGrid>
            <w:tr w:rsidR="001B56D0" w:rsidRPr="00FC39AB" w14:paraId="11E88000" w14:textId="77777777" w:rsidTr="001B56D0">
              <w:trPr>
                <w:trHeight w:val="450"/>
              </w:trPr>
              <w:tc>
                <w:tcPr>
                  <w:tcW w:w="2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94C8CF" w14:textId="2A79388F" w:rsidR="001B56D0" w:rsidRPr="00FC39AB" w:rsidRDefault="00F13172" w:rsidP="000B710A">
                  <w:pPr>
                    <w:framePr w:hSpace="141" w:wrap="around" w:vAnchor="text" w:hAnchor="margin" w:y="198"/>
                    <w:spacing w:after="0" w:line="240" w:lineRule="auto"/>
                    <w:outlineLvl w:val="1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FC3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>Nákup HW a krabicového SW</w:t>
                  </w:r>
                </w:p>
              </w:tc>
            </w:tr>
            <w:tr w:rsidR="001B56D0" w:rsidRPr="00FC39AB" w14:paraId="05B41402" w14:textId="77777777" w:rsidTr="001B56D0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832877" w14:textId="77777777" w:rsidR="001B56D0" w:rsidRPr="00FC39AB" w:rsidRDefault="001B56D0" w:rsidP="000B710A">
                  <w:pPr>
                    <w:framePr w:hSpace="141" w:wrap="around" w:vAnchor="text" w:hAnchor="margin" w:y="198"/>
                    <w:spacing w:after="0" w:line="240" w:lineRule="auto"/>
                    <w:outlineLvl w:val="1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</w:p>
              </w:tc>
            </w:tr>
            <w:tr w:rsidR="001B56D0" w:rsidRPr="00FC39AB" w14:paraId="34B07F2D" w14:textId="77777777" w:rsidTr="001B56D0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703BBC" w14:textId="77777777" w:rsidR="001B56D0" w:rsidRPr="00FC39AB" w:rsidRDefault="001B56D0" w:rsidP="000B710A">
                  <w:pPr>
                    <w:framePr w:hSpace="141" w:wrap="around" w:vAnchor="text" w:hAnchor="margin" w:y="198"/>
                    <w:spacing w:after="0" w:line="240" w:lineRule="auto"/>
                    <w:outlineLvl w:val="1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</w:p>
              </w:tc>
            </w:tr>
            <w:tr w:rsidR="001B56D0" w:rsidRPr="00FC39AB" w14:paraId="47D3C9B4" w14:textId="77777777" w:rsidTr="001B56D0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0BC00E" w14:textId="77777777" w:rsidR="001B56D0" w:rsidRPr="00FC39AB" w:rsidRDefault="001B56D0" w:rsidP="000B710A">
                  <w:pPr>
                    <w:framePr w:hSpace="141" w:wrap="around" w:vAnchor="text" w:hAnchor="margin" w:y="198"/>
                    <w:spacing w:after="0" w:line="240" w:lineRule="auto"/>
                    <w:outlineLvl w:val="1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</w:p>
              </w:tc>
            </w:tr>
            <w:tr w:rsidR="001B56D0" w:rsidRPr="00FC39AB" w14:paraId="1998A097" w14:textId="77777777" w:rsidTr="001B56D0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EDD888" w14:textId="77777777" w:rsidR="001B56D0" w:rsidRPr="00FC39AB" w:rsidRDefault="001B56D0" w:rsidP="000B710A">
                  <w:pPr>
                    <w:framePr w:hSpace="141" w:wrap="around" w:vAnchor="text" w:hAnchor="margin" w:y="198"/>
                    <w:spacing w:after="0" w:line="240" w:lineRule="auto"/>
                    <w:outlineLvl w:val="1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</w:p>
              </w:tc>
            </w:tr>
            <w:tr w:rsidR="001B56D0" w:rsidRPr="00FC39AB" w14:paraId="5F92CD90" w14:textId="77777777" w:rsidTr="001B56D0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5589C4" w14:textId="77777777" w:rsidR="001B56D0" w:rsidRPr="00FC39AB" w:rsidRDefault="001B56D0" w:rsidP="000B710A">
                  <w:pPr>
                    <w:framePr w:hSpace="141" w:wrap="around" w:vAnchor="text" w:hAnchor="margin" w:y="198"/>
                    <w:spacing w:after="0" w:line="240" w:lineRule="auto"/>
                    <w:outlineLvl w:val="1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</w:p>
              </w:tc>
            </w:tr>
            <w:tr w:rsidR="001B56D0" w:rsidRPr="00FC39AB" w14:paraId="730B8340" w14:textId="77777777" w:rsidTr="001B56D0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E4F158" w14:textId="77777777" w:rsidR="001B56D0" w:rsidRPr="00FC39AB" w:rsidRDefault="001B56D0" w:rsidP="000B710A">
                  <w:pPr>
                    <w:framePr w:hSpace="141" w:wrap="around" w:vAnchor="text" w:hAnchor="margin" w:y="198"/>
                    <w:spacing w:after="0" w:line="240" w:lineRule="auto"/>
                    <w:outlineLvl w:val="1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</w:p>
              </w:tc>
            </w:tr>
            <w:tr w:rsidR="001B56D0" w:rsidRPr="00FC39AB" w14:paraId="59EBD303" w14:textId="77777777" w:rsidTr="001B56D0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B716A1" w14:textId="77777777" w:rsidR="001B56D0" w:rsidRPr="00FC39AB" w:rsidRDefault="001B56D0" w:rsidP="000B710A">
                  <w:pPr>
                    <w:framePr w:hSpace="141" w:wrap="around" w:vAnchor="text" w:hAnchor="margin" w:y="198"/>
                    <w:spacing w:after="0" w:line="240" w:lineRule="auto"/>
                    <w:outlineLvl w:val="1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</w:p>
              </w:tc>
            </w:tr>
            <w:tr w:rsidR="001B56D0" w:rsidRPr="00FC39AB" w14:paraId="0C228D48" w14:textId="77777777" w:rsidTr="001B56D0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0B0097" w14:textId="77777777" w:rsidR="001B56D0" w:rsidRPr="00FC39AB" w:rsidRDefault="001B56D0" w:rsidP="000B710A">
                  <w:pPr>
                    <w:framePr w:hSpace="141" w:wrap="around" w:vAnchor="text" w:hAnchor="margin" w:y="198"/>
                    <w:spacing w:after="0" w:line="240" w:lineRule="auto"/>
                    <w:outlineLvl w:val="1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</w:p>
              </w:tc>
            </w:tr>
            <w:tr w:rsidR="001B56D0" w:rsidRPr="00FC39AB" w14:paraId="2A80E185" w14:textId="77777777" w:rsidTr="001B56D0">
              <w:trPr>
                <w:trHeight w:val="450"/>
              </w:trPr>
              <w:tc>
                <w:tcPr>
                  <w:tcW w:w="2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92B044" w14:textId="77777777" w:rsidR="001B56D0" w:rsidRPr="00FC39AB" w:rsidRDefault="001B56D0" w:rsidP="000B710A">
                  <w:pPr>
                    <w:framePr w:hSpace="141" w:wrap="around" w:vAnchor="text" w:hAnchor="margin" w:y="198"/>
                    <w:spacing w:after="0" w:line="240" w:lineRule="auto"/>
                    <w:outlineLvl w:val="1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</w:p>
              </w:tc>
            </w:tr>
          </w:tbl>
          <w:p w14:paraId="4EC204B5" w14:textId="77777777" w:rsidR="00097F7F" w:rsidRPr="00FC39AB" w:rsidRDefault="00097F7F" w:rsidP="000B710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82" w:type="dxa"/>
          </w:tcPr>
          <w:p w14:paraId="043B62BB" w14:textId="5F17016D" w:rsidR="00097F7F" w:rsidRPr="00FC39AB" w:rsidRDefault="00D507AB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Vytvorenie agendového IS KSED</w:t>
            </w:r>
          </w:p>
        </w:tc>
        <w:tc>
          <w:tcPr>
            <w:tcW w:w="2182" w:type="dxa"/>
          </w:tcPr>
          <w:p w14:paraId="754764A4" w14:textId="169893C1" w:rsidR="00097F7F" w:rsidRPr="00FC39AB" w:rsidRDefault="00322C5A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Žiadateľ</w:t>
            </w:r>
          </w:p>
        </w:tc>
        <w:tc>
          <w:tcPr>
            <w:tcW w:w="2182" w:type="dxa"/>
          </w:tcPr>
          <w:p w14:paraId="4EECD712" w14:textId="29F97CAA" w:rsidR="00097F7F" w:rsidRPr="00FC39AB" w:rsidRDefault="00322C5A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</w:tr>
      <w:tr w:rsidR="00192563" w:rsidRPr="00FC39AB" w:rsidDel="00B92DD0" w14:paraId="2B4E4DB4" w14:textId="77777777" w:rsidTr="004D7FFC">
        <w:tc>
          <w:tcPr>
            <w:tcW w:w="2516" w:type="dxa"/>
            <w:shd w:val="clear" w:color="auto" w:fill="CCC0D9"/>
          </w:tcPr>
          <w:p w14:paraId="5261B87D" w14:textId="297CC2DE" w:rsidR="00192563" w:rsidRPr="00FC39AB" w:rsidRDefault="00192563" w:rsidP="000B710A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Implementácia</w:t>
            </w:r>
          </w:p>
        </w:tc>
        <w:tc>
          <w:tcPr>
            <w:tcW w:w="2182" w:type="dxa"/>
          </w:tcPr>
          <w:p w14:paraId="09EF7EF0" w14:textId="3614313E" w:rsidR="00192563" w:rsidRPr="00FC39AB" w:rsidRDefault="00002E74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Vytvorenie agendového IS KSED</w:t>
            </w:r>
          </w:p>
        </w:tc>
        <w:tc>
          <w:tcPr>
            <w:tcW w:w="2182" w:type="dxa"/>
          </w:tcPr>
          <w:p w14:paraId="43E56367" w14:textId="780B646E" w:rsidR="00192563" w:rsidRPr="00FC39AB" w:rsidRDefault="00002E74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Žiadateľ</w:t>
            </w:r>
          </w:p>
        </w:tc>
        <w:tc>
          <w:tcPr>
            <w:tcW w:w="2182" w:type="dxa"/>
          </w:tcPr>
          <w:p w14:paraId="52233252" w14:textId="4EA85135" w:rsidR="00192563" w:rsidRPr="00FC39AB" w:rsidRDefault="0008505A" w:rsidP="004D7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</w:tr>
      <w:tr w:rsidR="00771B27" w:rsidRPr="00FC39AB" w14:paraId="362EABAD" w14:textId="77777777" w:rsidTr="0008505A">
        <w:trPr>
          <w:trHeight w:val="960"/>
        </w:trPr>
        <w:tc>
          <w:tcPr>
            <w:tcW w:w="2516" w:type="dxa"/>
            <w:shd w:val="clear" w:color="auto" w:fill="CCC0D9"/>
          </w:tcPr>
          <w:p w14:paraId="2882C6CE" w14:textId="755EA022" w:rsidR="00771B27" w:rsidRPr="00FC39AB" w:rsidRDefault="0068004F" w:rsidP="000B7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3" w:name="_Hlk499633026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Testovanie</w:t>
            </w:r>
          </w:p>
        </w:tc>
        <w:tc>
          <w:tcPr>
            <w:tcW w:w="2182" w:type="dxa"/>
          </w:tcPr>
          <w:p w14:paraId="3C11A6D3" w14:textId="109EAE02" w:rsidR="00771B27" w:rsidRPr="00FC39AB" w:rsidRDefault="00D507AB" w:rsidP="0077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Vytvorenie agendového IS KSED</w:t>
            </w:r>
          </w:p>
        </w:tc>
        <w:tc>
          <w:tcPr>
            <w:tcW w:w="2182" w:type="dxa"/>
          </w:tcPr>
          <w:p w14:paraId="205DF77D" w14:textId="5B141B64" w:rsidR="00771B27" w:rsidRPr="00FC39AB" w:rsidRDefault="00771B27" w:rsidP="0077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Žiadateľ</w:t>
            </w:r>
          </w:p>
        </w:tc>
        <w:tc>
          <w:tcPr>
            <w:tcW w:w="2182" w:type="dxa"/>
          </w:tcPr>
          <w:p w14:paraId="4FEC4562" w14:textId="7896383A" w:rsidR="00771B27" w:rsidRPr="00FC39AB" w:rsidRDefault="005926C0" w:rsidP="0077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322C5A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  <w:tr w:rsidR="0068004F" w:rsidRPr="00FC39AB" w14:paraId="7F0212B7" w14:textId="77777777" w:rsidTr="004D7FFC">
        <w:tc>
          <w:tcPr>
            <w:tcW w:w="2516" w:type="dxa"/>
            <w:shd w:val="clear" w:color="auto" w:fill="CCC0D9"/>
          </w:tcPr>
          <w:p w14:paraId="3F991531" w14:textId="28405190" w:rsidR="0068004F" w:rsidRPr="00FC39AB" w:rsidRDefault="00D96552" w:rsidP="000B7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Nasadenie</w:t>
            </w:r>
          </w:p>
        </w:tc>
        <w:tc>
          <w:tcPr>
            <w:tcW w:w="2182" w:type="dxa"/>
          </w:tcPr>
          <w:p w14:paraId="6ECED064" w14:textId="047B22EB" w:rsidR="0068004F" w:rsidRPr="00FC39AB" w:rsidRDefault="00322C5A" w:rsidP="0077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Vytvorenie agendového IS KSED</w:t>
            </w:r>
          </w:p>
        </w:tc>
        <w:tc>
          <w:tcPr>
            <w:tcW w:w="2182" w:type="dxa"/>
          </w:tcPr>
          <w:p w14:paraId="0F1D7322" w14:textId="2FA013F7" w:rsidR="0068004F" w:rsidRPr="0008505A" w:rsidRDefault="00322C5A" w:rsidP="0077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505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Žiadateľ</w:t>
            </w:r>
          </w:p>
        </w:tc>
        <w:tc>
          <w:tcPr>
            <w:tcW w:w="2182" w:type="dxa"/>
          </w:tcPr>
          <w:p w14:paraId="77D69AEB" w14:textId="3D2996A1" w:rsidR="0068004F" w:rsidRPr="0008505A" w:rsidRDefault="0008505A" w:rsidP="0077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8505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 w:rsidR="000B710A" w:rsidRPr="00FC39AB" w14:paraId="67EF243E" w14:textId="77777777" w:rsidTr="004D7FFC">
        <w:tc>
          <w:tcPr>
            <w:tcW w:w="2516" w:type="dxa"/>
            <w:shd w:val="clear" w:color="auto" w:fill="CCC0D9"/>
          </w:tcPr>
          <w:p w14:paraId="15861F1C" w14:textId="7F08B3C6" w:rsidR="000B710A" w:rsidRPr="00FC39AB" w:rsidRDefault="000B710A" w:rsidP="000B7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Riadenie projektu</w:t>
            </w:r>
          </w:p>
        </w:tc>
        <w:tc>
          <w:tcPr>
            <w:tcW w:w="2182" w:type="dxa"/>
          </w:tcPr>
          <w:p w14:paraId="55643383" w14:textId="02F74048" w:rsidR="000B710A" w:rsidRPr="00FC39AB" w:rsidRDefault="00322C5A" w:rsidP="0077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Vytvorenie agendového IS KSED</w:t>
            </w:r>
          </w:p>
        </w:tc>
        <w:tc>
          <w:tcPr>
            <w:tcW w:w="2182" w:type="dxa"/>
          </w:tcPr>
          <w:p w14:paraId="0019073A" w14:textId="2B2AB31D" w:rsidR="000B710A" w:rsidRPr="00FC39AB" w:rsidRDefault="00322C5A" w:rsidP="0077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Žiadateľ</w:t>
            </w:r>
          </w:p>
        </w:tc>
        <w:tc>
          <w:tcPr>
            <w:tcW w:w="2182" w:type="dxa"/>
          </w:tcPr>
          <w:p w14:paraId="5B36FF5B" w14:textId="34771679" w:rsidR="000B710A" w:rsidRPr="00FC39AB" w:rsidRDefault="00322C5A" w:rsidP="0077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</w:tr>
      <w:tr w:rsidR="00002E74" w:rsidRPr="00FC39AB" w14:paraId="1CD025CA" w14:textId="77777777" w:rsidTr="004D7FFC">
        <w:tc>
          <w:tcPr>
            <w:tcW w:w="2516" w:type="dxa"/>
            <w:shd w:val="clear" w:color="auto" w:fill="CCC0D9"/>
          </w:tcPr>
          <w:p w14:paraId="04DC2DE6" w14:textId="3E715073" w:rsidR="00002E74" w:rsidRPr="00FC39AB" w:rsidRDefault="00002E74" w:rsidP="000B7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Publicita a informovanosť</w:t>
            </w:r>
          </w:p>
        </w:tc>
        <w:tc>
          <w:tcPr>
            <w:tcW w:w="2182" w:type="dxa"/>
          </w:tcPr>
          <w:p w14:paraId="0DD98635" w14:textId="3E843187" w:rsidR="00002E74" w:rsidRPr="00FC39AB" w:rsidRDefault="00002E74" w:rsidP="0077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Vytvorenie agendového IS KSED</w:t>
            </w:r>
          </w:p>
        </w:tc>
        <w:tc>
          <w:tcPr>
            <w:tcW w:w="2182" w:type="dxa"/>
          </w:tcPr>
          <w:p w14:paraId="6CFE54D3" w14:textId="48C90B72" w:rsidR="00002E74" w:rsidRPr="00FC39AB" w:rsidRDefault="00002E74" w:rsidP="0077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Žiadateľ</w:t>
            </w:r>
          </w:p>
        </w:tc>
        <w:tc>
          <w:tcPr>
            <w:tcW w:w="2182" w:type="dxa"/>
          </w:tcPr>
          <w:p w14:paraId="74091DFB" w14:textId="315463A9" w:rsidR="00002E74" w:rsidRPr="00FC39AB" w:rsidRDefault="00002E74" w:rsidP="0077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</w:tr>
    </w:tbl>
    <w:bookmarkEnd w:id="3"/>
    <w:p w14:paraId="6F011410" w14:textId="77777777" w:rsidR="004D7FFC" w:rsidRPr="00FC39AB" w:rsidRDefault="004D7FFC" w:rsidP="004D7FF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 prípade viacerých aktivít, doplňte informácie za každú z nich.</w:t>
      </w:r>
    </w:p>
    <w:p w14:paraId="310D754C" w14:textId="77777777" w:rsidR="00B66F51" w:rsidRPr="00FC39AB" w:rsidRDefault="00B66F51" w:rsidP="004D7F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EDF53D" w14:textId="77777777" w:rsidR="004D7FFC" w:rsidRPr="00FC39AB" w:rsidRDefault="00CA79D1" w:rsidP="00CA79D1">
      <w:pPr>
        <w:keepNext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Rozpočet</w:t>
      </w:r>
    </w:p>
    <w:p w14:paraId="07E5ED8B" w14:textId="1B25D951" w:rsidR="004D7FFC" w:rsidRPr="00FC39AB" w:rsidRDefault="004D7FFC" w:rsidP="004D7F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uveďte, ako bol pripravovaný indikatívny rozpočet a ako spĺňa kritérium „hodnota za peniaze“, t.</w:t>
      </w:r>
      <w:r w:rsidR="0001246A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j. akým spôsobom bola odhadnutá cena za každú položku, napr. prieskum trhu, analýza minulých výdavkov spojených s podobnými aktivitami, nezávislý znalecký posudok, v prípade, ak príprave projektu predchádza vypracovanie štúdie uskutočniteľnosti, ktorej výsledkom je, o. i. aj určenie výšky alokácie, je potrebné uviesť túto štúdiu ako zdroj určenia výšky finančných prostriedkov. Skupiny výdavkov doplňte v súlade s MP CKO č. 4 k číselníku oprávnených výdavkov v platnom znení. V prípade operačných programov implementujúcich infraštruktúrne projekty, ako aj projekty súvisiace s obnovou mobilných prostriedkov, sa do ukončenia verejného obstarávania uvádzajú položky rozpočtu len do úrovne aktivít.</w:t>
      </w:r>
    </w:p>
    <w:p w14:paraId="160EAFCD" w14:textId="77777777" w:rsidR="00002E74" w:rsidRPr="00FC39AB" w:rsidRDefault="00002E74" w:rsidP="004D7F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F31C18" w14:textId="77777777" w:rsidR="00002E74" w:rsidRPr="00FC39AB" w:rsidRDefault="00002E74" w:rsidP="00002E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Každá položka rozpočtu vznikla porovnaním prepočítaním </w:t>
      </w:r>
      <w:proofErr w:type="spellStart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Use</w:t>
      </w:r>
      <w:proofErr w:type="spellEnd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case</w:t>
      </w:r>
      <w:proofErr w:type="spellEnd"/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analýz, prieskumu trhu na základe slepých rozpočtov a analýzy minulých výdavkov rezortu na podobné aktivity, čím sa určila výška jednotlivých skupín výdavkov a celková výška alokácie.</w:t>
      </w:r>
    </w:p>
    <w:p w14:paraId="26899C3D" w14:textId="77777777" w:rsidR="00002E74" w:rsidRPr="00FC39AB" w:rsidRDefault="00002E74" w:rsidP="00002E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3B89A2" w14:textId="77777777" w:rsidR="00002E74" w:rsidRPr="00FC39AB" w:rsidRDefault="00002E74" w:rsidP="00002E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Skutočný výdavok bude vynaložený na základe zmluvy s výhercom verejného obstarávania pri splnení kvalifikačných predpokladov na predmetný typ služby alebo podrobnej špecifikácie softvéru. Cena za osobohodinu bola určená na základe existujúcich zmlúv rovnakého, alebo podobného charakteru  zverejnených v Centrálnom registri zmlúv. </w:t>
      </w:r>
    </w:p>
    <w:p w14:paraId="6F1BCB8A" w14:textId="77777777" w:rsidR="00002E74" w:rsidRPr="00FC39AB" w:rsidRDefault="00002E74" w:rsidP="00002E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77EE06" w14:textId="185C561C" w:rsidR="00002E74" w:rsidRPr="00FC39AB" w:rsidRDefault="00002E74" w:rsidP="00002E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Podrobný opis expertných činností a ich výstupov, ktoré budú predmetom dodávky konzultačných služieb bude súčasťou dokumentácie k VO. Východiskovým dokumentom na spracovanie podkladov k verejnému obstarávaniu bude vypracovaná štúdia uskutočniteľnosti vrátane jej príloh.</w:t>
      </w:r>
    </w:p>
    <w:p w14:paraId="1AD6B2CF" w14:textId="77777777" w:rsidR="004D7FFC" w:rsidRPr="00FC39AB" w:rsidRDefault="004D7FFC" w:rsidP="00EB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1954"/>
        <w:gridCol w:w="4843"/>
      </w:tblGrid>
      <w:tr w:rsidR="004D7FFC" w:rsidRPr="00FC39AB" w14:paraId="596E375B" w14:textId="77777777" w:rsidTr="004D7FFC">
        <w:trPr>
          <w:cantSplit/>
          <w:trHeight w:val="699"/>
        </w:trPr>
        <w:tc>
          <w:tcPr>
            <w:tcW w:w="9062" w:type="dxa"/>
            <w:gridSpan w:val="3"/>
            <w:shd w:val="clear" w:color="auto" w:fill="CCC0D9"/>
          </w:tcPr>
          <w:p w14:paraId="3996635A" w14:textId="77777777" w:rsidR="004D7FFC" w:rsidRPr="00FC39AB" w:rsidRDefault="004D7FFC" w:rsidP="00EB3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Indikatívna výška finančných prostriedkov určených na realizáciu národného projektu a</w:t>
            </w:r>
            <w:r w:rsidR="00EB3839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ich</w:t>
            </w:r>
            <w:r w:rsidR="00EB3839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výstižné zdôvodnenie</w:t>
            </w:r>
          </w:p>
        </w:tc>
      </w:tr>
      <w:tr w:rsidR="004D7FFC" w:rsidRPr="00FC39AB" w14:paraId="283D9532" w14:textId="77777777" w:rsidTr="004D7FFC">
        <w:trPr>
          <w:cantSplit/>
        </w:trPr>
        <w:tc>
          <w:tcPr>
            <w:tcW w:w="2265" w:type="dxa"/>
            <w:shd w:val="clear" w:color="auto" w:fill="CCC0D9"/>
          </w:tcPr>
          <w:p w14:paraId="744E78B8" w14:textId="26D206BE" w:rsidR="004D7FFC" w:rsidRPr="00FC39AB" w:rsidRDefault="004D7FFC" w:rsidP="00A55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Predpokladané finančné prostriedky na</w:t>
            </w:r>
            <w:r w:rsidR="00A558A2" w:rsidRPr="00FC3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hlavné aktivity</w:t>
            </w:r>
          </w:p>
        </w:tc>
        <w:tc>
          <w:tcPr>
            <w:tcW w:w="1954" w:type="dxa"/>
            <w:shd w:val="clear" w:color="auto" w:fill="CCC0D9"/>
          </w:tcPr>
          <w:p w14:paraId="017A22CF" w14:textId="77777777" w:rsidR="004D7FFC" w:rsidRPr="00FC39AB" w:rsidRDefault="00A558A2" w:rsidP="00A558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Celková suma</w:t>
            </w:r>
          </w:p>
        </w:tc>
        <w:tc>
          <w:tcPr>
            <w:tcW w:w="4843" w:type="dxa"/>
            <w:shd w:val="clear" w:color="auto" w:fill="CCC0D9"/>
          </w:tcPr>
          <w:p w14:paraId="45960B55" w14:textId="77777777" w:rsidR="004D7FFC" w:rsidRPr="00FC39AB" w:rsidRDefault="004D7FFC" w:rsidP="004D7F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Uveďte plánované vecné vymedzenie</w:t>
            </w:r>
          </w:p>
        </w:tc>
      </w:tr>
      <w:tr w:rsidR="00396567" w:rsidRPr="00FC39AB" w14:paraId="39E53DF2" w14:textId="77777777" w:rsidTr="00A52EF6">
        <w:trPr>
          <w:cantSplit/>
        </w:trPr>
        <w:tc>
          <w:tcPr>
            <w:tcW w:w="2265" w:type="dxa"/>
            <w:shd w:val="clear" w:color="auto" w:fill="CCC0D9"/>
          </w:tcPr>
          <w:p w14:paraId="4EB79376" w14:textId="2C96DB73" w:rsidR="00396567" w:rsidRPr="00FC39AB" w:rsidRDefault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Analýza a dizajn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43DD2E6" w14:textId="019CDA8C" w:rsidR="00E511E4" w:rsidRPr="00FC39AB" w:rsidRDefault="00E511E4" w:rsidP="00E511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3BFF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</w:t>
            </w:r>
            <w:r w:rsidR="00493BFF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3BFF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5FCB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7BE0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</w:t>
            </w:r>
          </w:p>
          <w:p w14:paraId="73A0E2D1" w14:textId="01CF38A6" w:rsidR="00396567" w:rsidRPr="00FC39AB" w:rsidRDefault="00396567" w:rsidP="007E13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auto"/>
          </w:tcPr>
          <w:p w14:paraId="7E2A5AAB" w14:textId="243D1E84" w:rsidR="00396567" w:rsidRPr="00FC39AB" w:rsidRDefault="000F59E0" w:rsidP="004F6E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Aktivita zahŕňa </w:t>
            </w:r>
            <w:r w:rsidR="00F85CB8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 FTE na analýzu, návrh riešenia a zadania pre programátorov. 9 FTE predstavuje migrácia údajov. Cena bude </w:t>
            </w:r>
            <w:proofErr w:type="spellStart"/>
            <w:r w:rsidR="00F85CB8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upresnená</w:t>
            </w:r>
            <w:proofErr w:type="spellEnd"/>
            <w:r w:rsidR="00F85CB8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základe finalizácia požiadavky na VO a výsledkov VO.</w:t>
            </w:r>
          </w:p>
        </w:tc>
      </w:tr>
      <w:tr w:rsidR="000243B1" w:rsidRPr="00FC39AB" w14:paraId="36DCE7AB" w14:textId="77777777" w:rsidTr="00A52EF6">
        <w:trPr>
          <w:cantSplit/>
        </w:trPr>
        <w:tc>
          <w:tcPr>
            <w:tcW w:w="2265" w:type="dxa"/>
            <w:shd w:val="clear" w:color="auto" w:fill="CCC0D9"/>
          </w:tcPr>
          <w:p w14:paraId="7F1A6F8A" w14:textId="081A2446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Nákup </w:t>
            </w:r>
            <w:r w:rsidR="00F85CB8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HW a krabicového SW 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4360801" w14:textId="0F04B3A9" w:rsidR="000243B1" w:rsidRPr="00FC39AB" w:rsidRDefault="0057205D" w:rsidP="00024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300 144</w:t>
            </w:r>
            <w:r w:rsidR="000243B1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4843" w:type="dxa"/>
            <w:shd w:val="clear" w:color="auto" w:fill="auto"/>
          </w:tcPr>
          <w:p w14:paraId="17DDE668" w14:textId="426D081A" w:rsidR="000243B1" w:rsidRPr="00FC39AB" w:rsidRDefault="00F85CB8" w:rsidP="00024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Obstaranie odolných zariadení pre prácu v teréne a HW pre mandátny podpis inšpektora. SW časť predstavuje nákup licencií pre zálohovanie</w:t>
            </w:r>
            <w:r w:rsidR="00711064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databázy a antivírus. Cena bude </w:t>
            </w:r>
            <w:proofErr w:type="spellStart"/>
            <w:r w:rsidR="00711064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upresnená</w:t>
            </w:r>
            <w:proofErr w:type="spellEnd"/>
            <w:r w:rsidR="00711064"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základe finalizácia požiadavky na VO a výsledkov VO.</w:t>
            </w:r>
          </w:p>
        </w:tc>
      </w:tr>
      <w:tr w:rsidR="000243B1" w:rsidRPr="00FC39AB" w14:paraId="69E421FA" w14:textId="77777777" w:rsidTr="00A52EF6">
        <w:trPr>
          <w:cantSplit/>
        </w:trPr>
        <w:tc>
          <w:tcPr>
            <w:tcW w:w="2265" w:type="dxa"/>
            <w:shd w:val="clear" w:color="auto" w:fill="CCC0D9"/>
          </w:tcPr>
          <w:p w14:paraId="2A13D764" w14:textId="1C7A219F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Implementácia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4950A20" w14:textId="4DB76E9F" w:rsidR="003E2B95" w:rsidRPr="00FC39AB" w:rsidRDefault="003E2B95" w:rsidP="003E2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25FCB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</w:t>
            </w:r>
            <w:r w:rsidR="00225FCB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</w:t>
            </w:r>
            <w:r w:rsidR="005F7BE0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</w:t>
            </w:r>
          </w:p>
          <w:p w14:paraId="563AF19E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auto"/>
          </w:tcPr>
          <w:p w14:paraId="2E540F85" w14:textId="24901839" w:rsidR="000243B1" w:rsidRPr="00FC39AB" w:rsidRDefault="00711064" w:rsidP="00024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Aktivita zahŕňa 9 FTE na realizáciu dokumentácie vývoja a 12 FTE na samotný vývoj jednotlivých modulov riešenia. Cena bude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upresnená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základe finalizácia požiadavky na VO a výsledkov VO.</w:t>
            </w:r>
          </w:p>
        </w:tc>
      </w:tr>
      <w:tr w:rsidR="000243B1" w:rsidRPr="00FC39AB" w14:paraId="75FB20C3" w14:textId="77777777" w:rsidTr="00A52EF6">
        <w:trPr>
          <w:cantSplit/>
        </w:trPr>
        <w:tc>
          <w:tcPr>
            <w:tcW w:w="2265" w:type="dxa"/>
            <w:shd w:val="clear" w:color="auto" w:fill="CCC0D9"/>
          </w:tcPr>
          <w:p w14:paraId="6D5DE63D" w14:textId="094B181E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Testovanie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EEE1D9D" w14:textId="111BAD7F" w:rsidR="00446BCF" w:rsidRPr="00FC39AB" w:rsidRDefault="00446BCF" w:rsidP="00446B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  <w:r w:rsidR="00225FCB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7C230E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F7BE0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</w:t>
            </w:r>
          </w:p>
          <w:p w14:paraId="4656B25D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auto"/>
          </w:tcPr>
          <w:p w14:paraId="07056B89" w14:textId="57685217" w:rsidR="000243B1" w:rsidRPr="00FC39AB" w:rsidRDefault="00711064" w:rsidP="00024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Kalkulácia počíta so 12 FTE na prípravu testovacích údajov a scenárov, realizáciu funkčných, záťažových, integračných a i. testov. Cena bude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upresnená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základe finalizácie požiadavky na VO a výsledkov VO.</w:t>
            </w:r>
          </w:p>
        </w:tc>
      </w:tr>
      <w:tr w:rsidR="000243B1" w:rsidRPr="00FC39AB" w14:paraId="05E28C9C" w14:textId="77777777" w:rsidTr="00A52EF6">
        <w:trPr>
          <w:cantSplit/>
        </w:trPr>
        <w:tc>
          <w:tcPr>
            <w:tcW w:w="2265" w:type="dxa"/>
            <w:shd w:val="clear" w:color="auto" w:fill="CCC0D9"/>
          </w:tcPr>
          <w:p w14:paraId="7833B01F" w14:textId="65047CCB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Nasadenie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123D168" w14:textId="6DDB8B8B" w:rsidR="00851FCB" w:rsidRPr="00FC39AB" w:rsidRDefault="00851FCB" w:rsidP="00851F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225FCB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7C230E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F7BE0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€</w:t>
            </w:r>
          </w:p>
          <w:p w14:paraId="71F89264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auto"/>
          </w:tcPr>
          <w:p w14:paraId="6814ED5A" w14:textId="2E0723BF" w:rsidR="000243B1" w:rsidRPr="00FC39AB" w:rsidRDefault="00711064" w:rsidP="00024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Kalkulácia počíta so 13 FTE určenými na nasadenie riešenia na všetky prostredia (vývojové, testovacie a produkčné). Cena bude </w:t>
            </w:r>
            <w:proofErr w:type="spellStart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upresnená</w:t>
            </w:r>
            <w:proofErr w:type="spellEnd"/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základe finalizácie požiadavky na VO a výsledkov VO.</w:t>
            </w:r>
          </w:p>
        </w:tc>
      </w:tr>
      <w:tr w:rsidR="000243B1" w:rsidRPr="00FC39AB" w14:paraId="34DEC6AA" w14:textId="77777777" w:rsidTr="00A52EF6">
        <w:trPr>
          <w:cantSplit/>
        </w:trPr>
        <w:tc>
          <w:tcPr>
            <w:tcW w:w="2265" w:type="dxa"/>
            <w:shd w:val="clear" w:color="auto" w:fill="CCC0D9"/>
          </w:tcPr>
          <w:p w14:paraId="6921446B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Hlavné aktivity SPOLU</w:t>
            </w:r>
          </w:p>
        </w:tc>
        <w:tc>
          <w:tcPr>
            <w:tcW w:w="1954" w:type="dxa"/>
            <w:shd w:val="clear" w:color="auto" w:fill="auto"/>
          </w:tcPr>
          <w:p w14:paraId="3C4AB2E2" w14:textId="78F120BA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153FC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122 031</w:t>
            </w: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€</w:t>
            </w:r>
          </w:p>
        </w:tc>
        <w:tc>
          <w:tcPr>
            <w:tcW w:w="4843" w:type="dxa"/>
            <w:shd w:val="clear" w:color="auto" w:fill="auto"/>
          </w:tcPr>
          <w:p w14:paraId="18BD652A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3B1" w:rsidRPr="00FC39AB" w14:paraId="4497DA18" w14:textId="77777777" w:rsidTr="00A52EF6">
        <w:trPr>
          <w:cantSplit/>
        </w:trPr>
        <w:tc>
          <w:tcPr>
            <w:tcW w:w="2265" w:type="dxa"/>
            <w:shd w:val="clear" w:color="auto" w:fill="CCC0D9"/>
          </w:tcPr>
          <w:p w14:paraId="61782965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Predpokladané finančné prostriedky na podporné aktivity</w:t>
            </w:r>
          </w:p>
        </w:tc>
        <w:tc>
          <w:tcPr>
            <w:tcW w:w="1954" w:type="dxa"/>
          </w:tcPr>
          <w:p w14:paraId="59D8E606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Celková suma</w:t>
            </w:r>
          </w:p>
        </w:tc>
        <w:tc>
          <w:tcPr>
            <w:tcW w:w="4843" w:type="dxa"/>
            <w:shd w:val="clear" w:color="auto" w:fill="auto"/>
          </w:tcPr>
          <w:p w14:paraId="70FD6851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Uveďte plánované vecné vymedzenie</w:t>
            </w:r>
          </w:p>
        </w:tc>
      </w:tr>
      <w:tr w:rsidR="000243B1" w:rsidRPr="00FC39AB" w14:paraId="50A3E430" w14:textId="77777777" w:rsidTr="00A52EF6">
        <w:trPr>
          <w:cantSplit/>
        </w:trPr>
        <w:tc>
          <w:tcPr>
            <w:tcW w:w="2265" w:type="dxa"/>
            <w:shd w:val="clear" w:color="auto" w:fill="CCC0D9"/>
          </w:tcPr>
          <w:p w14:paraId="1096AF80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Riadenie projektu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FD780BC" w14:textId="6BDC9FA4" w:rsidR="000243B1" w:rsidRPr="00FC39AB" w:rsidRDefault="005F7BE0" w:rsidP="000243B1">
            <w:pPr>
              <w:rPr>
                <w:rFonts w:ascii="Calibri" w:hAnsi="Calibri"/>
                <w:color w:val="000000"/>
              </w:rPr>
            </w:pPr>
            <w:r w:rsidRPr="00FC39AB">
              <w:rPr>
                <w:rFonts w:ascii="Calibri" w:hAnsi="Calibri" w:cs="Calibri"/>
                <w:color w:val="000000"/>
              </w:rPr>
              <w:t xml:space="preserve">571 336 </w:t>
            </w:r>
            <w:r w:rsidR="000243B1"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4843" w:type="dxa"/>
            <w:shd w:val="clear" w:color="auto" w:fill="auto"/>
          </w:tcPr>
          <w:p w14:paraId="3BC04A04" w14:textId="77777777" w:rsidR="0055106C" w:rsidRPr="00FC39AB" w:rsidRDefault="0055106C" w:rsidP="00551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110E813" w14:textId="385170A9" w:rsidR="000243B1" w:rsidRPr="00FC39AB" w:rsidRDefault="0055106C" w:rsidP="00551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Aktivita ráta s externými FTE na projektové riadenie, monitorovanie, finančné riadenie. Cena bude </w:t>
            </w:r>
            <w:proofErr w:type="spellStart"/>
            <w:r w:rsidRPr="00FC39AB">
              <w:rPr>
                <w:rFonts w:ascii="Times New Roman" w:hAnsi="Times New Roman" w:cs="Times New Roman"/>
                <w:bCs/>
                <w:sz w:val="24"/>
                <w:szCs w:val="24"/>
              </w:rPr>
              <w:t>upresnená</w:t>
            </w:r>
            <w:proofErr w:type="spellEnd"/>
            <w:r w:rsidRPr="00FC3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základe výsledkov finalizácie požiadavky na VO a výsledkov VO.</w:t>
            </w:r>
          </w:p>
        </w:tc>
      </w:tr>
      <w:tr w:rsidR="000243B1" w:rsidRPr="00FC39AB" w14:paraId="2F30B0E2" w14:textId="77777777" w:rsidTr="00A52EF6">
        <w:trPr>
          <w:cantSplit/>
        </w:trPr>
        <w:tc>
          <w:tcPr>
            <w:tcW w:w="2265" w:type="dxa"/>
            <w:shd w:val="clear" w:color="auto" w:fill="CCC0D9"/>
          </w:tcPr>
          <w:p w14:paraId="2277E7B8" w14:textId="1FEEEC88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Publicita a informovanosť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D013A89" w14:textId="4B15CBCA" w:rsidR="000243B1" w:rsidRPr="00FC39AB" w:rsidRDefault="005F7BE0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40 000 </w:t>
            </w: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4843" w:type="dxa"/>
            <w:shd w:val="clear" w:color="auto" w:fill="auto"/>
          </w:tcPr>
          <w:p w14:paraId="632F788D" w14:textId="63F36C18" w:rsidR="000243B1" w:rsidRPr="00FC39AB" w:rsidRDefault="00396342" w:rsidP="00024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9AB">
              <w:rPr>
                <w:rFonts w:ascii="Times New Roman" w:hAnsi="Times New Roman" w:cs="Times New Roman"/>
                <w:bCs/>
                <w:sz w:val="24"/>
                <w:szCs w:val="24"/>
              </w:rPr>
              <w:t>Aktivity publicity a informovanosti na projekt</w:t>
            </w:r>
            <w:r w:rsidR="0055106C" w:rsidRPr="00FC3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predstavujú externé náklady na marketingové aktivity projektu. Cena bude </w:t>
            </w:r>
            <w:proofErr w:type="spellStart"/>
            <w:r w:rsidR="0055106C" w:rsidRPr="00FC39AB">
              <w:rPr>
                <w:rFonts w:ascii="Times New Roman" w:hAnsi="Times New Roman" w:cs="Times New Roman"/>
                <w:bCs/>
                <w:sz w:val="24"/>
                <w:szCs w:val="24"/>
              </w:rPr>
              <w:t>upresnená</w:t>
            </w:r>
            <w:proofErr w:type="spellEnd"/>
            <w:r w:rsidR="0055106C" w:rsidRPr="00FC3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základe výsledkov finalizácie požiadavky na VO a výsledkov VO.</w:t>
            </w:r>
          </w:p>
        </w:tc>
      </w:tr>
      <w:tr w:rsidR="000243B1" w:rsidRPr="00FC39AB" w14:paraId="644B2859" w14:textId="77777777" w:rsidTr="00A52EF6">
        <w:trPr>
          <w:cantSplit/>
        </w:trPr>
        <w:tc>
          <w:tcPr>
            <w:tcW w:w="2265" w:type="dxa"/>
            <w:shd w:val="clear" w:color="auto" w:fill="CCC0D9"/>
          </w:tcPr>
          <w:p w14:paraId="3CE0F64F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Podporné aktivity SPOLU</w:t>
            </w:r>
          </w:p>
        </w:tc>
        <w:tc>
          <w:tcPr>
            <w:tcW w:w="1954" w:type="dxa"/>
            <w:shd w:val="clear" w:color="auto" w:fill="auto"/>
          </w:tcPr>
          <w:p w14:paraId="1D560F24" w14:textId="275BC722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611 336 </w:t>
            </w:r>
            <w:r w:rsidRPr="00FC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4843" w:type="dxa"/>
            <w:shd w:val="clear" w:color="auto" w:fill="auto"/>
          </w:tcPr>
          <w:p w14:paraId="098F94C6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243B1" w:rsidRPr="00FC39AB" w14:paraId="5362951B" w14:textId="77777777" w:rsidTr="00CA79D1">
        <w:trPr>
          <w:cantSplit/>
        </w:trPr>
        <w:tc>
          <w:tcPr>
            <w:tcW w:w="2265" w:type="dxa"/>
            <w:shd w:val="clear" w:color="auto" w:fill="CCC0D9"/>
          </w:tcPr>
          <w:p w14:paraId="3257D5EB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CELKOM</w:t>
            </w:r>
          </w:p>
        </w:tc>
        <w:tc>
          <w:tcPr>
            <w:tcW w:w="1954" w:type="dxa"/>
          </w:tcPr>
          <w:p w14:paraId="6EB66E50" w14:textId="28B172F6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FC3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8 733 367 </w:t>
            </w:r>
            <w:r w:rsidRPr="00FC3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€</w:t>
            </w:r>
          </w:p>
        </w:tc>
        <w:tc>
          <w:tcPr>
            <w:tcW w:w="4843" w:type="dxa"/>
            <w:shd w:val="clear" w:color="auto" w:fill="auto"/>
          </w:tcPr>
          <w:p w14:paraId="67B2DA03" w14:textId="77777777" w:rsidR="000243B1" w:rsidRPr="00FC39AB" w:rsidRDefault="000243B1" w:rsidP="00024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7FF1BDB" w14:textId="32B2CC55" w:rsidR="004D7FFC" w:rsidRPr="00FC39AB" w:rsidRDefault="004D7FFC" w:rsidP="004D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DC5B60" w14:textId="77777777" w:rsidR="004D7FFC" w:rsidRPr="00FC39AB" w:rsidRDefault="004D7FFC" w:rsidP="004D7FF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Deklarujte, že NP vyhovuje </w:t>
      </w:r>
      <w:r w:rsidRPr="00FC39A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zásade doplnkovosti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(t.</w:t>
      </w:r>
      <w:r w:rsidR="00CF2EC8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j. nenahrádza verejné</w:t>
      </w:r>
      <w:r w:rsidR="00CF2EC8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="00CF2EC8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ekvivalentné štrukturálne výdavky členského štátu v súlade s článkom 95 všeobecného nariadenia).</w:t>
      </w:r>
    </w:p>
    <w:p w14:paraId="00AA6246" w14:textId="77777777" w:rsidR="00EB3839" w:rsidRPr="00FC39AB" w:rsidRDefault="00EB3839" w:rsidP="00EB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88B63A" w14:textId="77777777" w:rsidR="004D7FFC" w:rsidRPr="00FC39AB" w:rsidRDefault="00CF2EC8" w:rsidP="00410A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DB2F43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ríspevok z EŠIF </w:t>
      </w:r>
      <w:r w:rsidR="009654E2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v tomto projekte nebude mať za následok zníženie vnútroštátnych štrukturálnych výdavkov a bude doplnkom vnútroštátneho verejného financovania</w:t>
      </w:r>
      <w:r w:rsidR="00DB2F43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zmysle zásady doplnkovosti</w:t>
      </w:r>
      <w:r w:rsidR="00EB3839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DFEEAFC" w14:textId="77777777" w:rsidR="008F6BEC" w:rsidRPr="00FC39AB" w:rsidRDefault="008F6BEC" w:rsidP="00EB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3706B5" w14:textId="77777777" w:rsidR="00E469B4" w:rsidRPr="00FC39AB" w:rsidRDefault="004D7FFC" w:rsidP="004D7FF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Bude v národnom projekte využité zjednodušené vykazovanie výdavkov? Ak áno, aký typ?</w:t>
      </w:r>
    </w:p>
    <w:p w14:paraId="7709365A" w14:textId="77777777" w:rsidR="00CF2EC8" w:rsidRPr="00FC39AB" w:rsidRDefault="00CF2EC8" w:rsidP="00CF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770A6A" w14:textId="77777777" w:rsidR="004D7FFC" w:rsidRPr="00FC39AB" w:rsidRDefault="00604E18" w:rsidP="00E469B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E469B4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0FBD610" w14:textId="77777777" w:rsidR="00455F16" w:rsidRPr="00FC39AB" w:rsidRDefault="00455F16" w:rsidP="00455F1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E70142" w14:textId="77777777" w:rsidR="00455F16" w:rsidRPr="00FC39AB" w:rsidRDefault="00455F16" w:rsidP="00455F1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4E5963" w14:textId="4AD2B42E" w:rsidR="004D7FFC" w:rsidRPr="00FC39AB" w:rsidRDefault="00455F16" w:rsidP="00455F1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16. </w:t>
      </w:r>
      <w:r w:rsidR="004D7FFC" w:rsidRPr="00FC39AB">
        <w:rPr>
          <w:rFonts w:ascii="Times New Roman" w:eastAsia="Times New Roman" w:hAnsi="Times New Roman" w:cs="Times New Roman"/>
          <w:sz w:val="24"/>
          <w:szCs w:val="24"/>
          <w:lang w:eastAsia="sk-SK"/>
        </w:rPr>
        <w:t>Štúdia uskutočniteľnosti vrátane analýzy nákladov a prínosov</w:t>
      </w:r>
    </w:p>
    <w:p w14:paraId="04C7EF87" w14:textId="77777777" w:rsidR="004D7FFC" w:rsidRPr="00FC39AB" w:rsidRDefault="004D7FFC" w:rsidP="004D7F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>Informácie sa vypĺňajú iba pre investičné</w:t>
      </w:r>
      <w:r w:rsidRPr="00FC39A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sk-SK"/>
        </w:rPr>
        <w:footnoteReference w:id="11"/>
      </w:r>
      <w:r w:rsidRPr="00FC39A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typy projektov.</w:t>
      </w:r>
    </w:p>
    <w:p w14:paraId="053CC93E" w14:textId="77777777" w:rsidR="004D7FFC" w:rsidRPr="00FC39AB" w:rsidRDefault="004D7FFC" w:rsidP="004D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1"/>
        <w:gridCol w:w="5698"/>
      </w:tblGrid>
      <w:tr w:rsidR="004D7FFC" w:rsidRPr="00FC39AB" w14:paraId="26F74A0A" w14:textId="77777777" w:rsidTr="004D7FFC">
        <w:tc>
          <w:tcPr>
            <w:tcW w:w="92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CCC0D9"/>
            <w:tcMar>
              <w:left w:w="57" w:type="dxa"/>
              <w:right w:w="57" w:type="dxa"/>
            </w:tcMar>
          </w:tcPr>
          <w:p w14:paraId="0800EFAC" w14:textId="04BAA176" w:rsidR="004D7FFC" w:rsidRPr="00FC39AB" w:rsidRDefault="004D7FFC" w:rsidP="004D7FFC">
            <w:pPr>
              <w:spacing w:before="120" w:after="12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C39A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Štúdia uskutočniteľnosti vrátane analýzy nákladov a</w:t>
            </w:r>
            <w:r w:rsidR="004F6EF5" w:rsidRPr="00FC39A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FC39A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prínosov</w:t>
            </w:r>
          </w:p>
        </w:tc>
      </w:tr>
      <w:tr w:rsidR="004D7FFC" w:rsidRPr="00FC39AB" w14:paraId="4343B4A6" w14:textId="77777777" w:rsidTr="004D7FFC">
        <w:tc>
          <w:tcPr>
            <w:tcW w:w="3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tcMar>
              <w:left w:w="57" w:type="dxa"/>
              <w:right w:w="57" w:type="dxa"/>
            </w:tcMar>
            <w:vAlign w:val="center"/>
          </w:tcPr>
          <w:p w14:paraId="77E03014" w14:textId="3EEB202F" w:rsidR="004D7FFC" w:rsidRPr="00FC39AB" w:rsidRDefault="004D7FFC" w:rsidP="00C5664F">
            <w:pPr>
              <w:spacing w:before="60" w:after="6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C39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Existuje relevantná štúdia uskutočniteľnosti</w:t>
            </w:r>
            <w:r w:rsidRPr="00FC39A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footnoteReference w:id="12"/>
            </w:r>
            <w:r w:rsidRPr="00FC39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? (áno/nie)</w:t>
            </w:r>
          </w:p>
        </w:tc>
        <w:tc>
          <w:tcPr>
            <w:tcW w:w="5698" w:type="dxa"/>
          </w:tcPr>
          <w:p w14:paraId="6EA17649" w14:textId="13718309" w:rsidR="004D7FFC" w:rsidRPr="00FC39AB" w:rsidRDefault="004F6EF5" w:rsidP="004D7FFC">
            <w:pPr>
              <w:spacing w:before="120" w:after="12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C39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Á</w:t>
            </w:r>
            <w:r w:rsidR="00FE6FD6" w:rsidRPr="00FC39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no</w:t>
            </w:r>
          </w:p>
        </w:tc>
      </w:tr>
      <w:tr w:rsidR="004D7FFC" w:rsidRPr="00FC39AB" w14:paraId="64342A0C" w14:textId="77777777" w:rsidTr="004D7FFC">
        <w:tc>
          <w:tcPr>
            <w:tcW w:w="3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tcMar>
              <w:left w:w="57" w:type="dxa"/>
              <w:right w:w="57" w:type="dxa"/>
            </w:tcMar>
            <w:vAlign w:val="center"/>
          </w:tcPr>
          <w:p w14:paraId="17760DF6" w14:textId="23A2D554" w:rsidR="004D7FFC" w:rsidRPr="00FC39AB" w:rsidRDefault="004D7FFC" w:rsidP="00B9575C">
            <w:pPr>
              <w:spacing w:after="6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C39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Ak je štúdia uskutočniteľnosti dostupná na internete, uveďte jej</w:t>
            </w:r>
            <w:r w:rsidR="00B9575C" w:rsidRPr="00FC39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 </w:t>
            </w:r>
            <w:r w:rsidRPr="00FC39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názov a internetovú adresu, kde je štúdia zverejnená</w:t>
            </w:r>
          </w:p>
        </w:tc>
        <w:tc>
          <w:tcPr>
            <w:tcW w:w="5698" w:type="dxa"/>
            <w:tcBorders>
              <w:bottom w:val="single" w:sz="2" w:space="0" w:color="auto"/>
            </w:tcBorders>
          </w:tcPr>
          <w:p w14:paraId="2EC8F1F5" w14:textId="5FC33A3C" w:rsidR="00651C91" w:rsidRPr="00FC39AB" w:rsidRDefault="00651C91" w:rsidP="00DA1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39A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Štúdia uskutočniteľnosti „Zefektívnenie štátneho dozoru v starostlivosti o životné prostredie“</w:t>
            </w:r>
          </w:p>
          <w:p w14:paraId="6DF70F4F" w14:textId="77777777" w:rsidR="00651C91" w:rsidRPr="00FC39AB" w:rsidRDefault="00651C91" w:rsidP="00DA1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A90E87F" w14:textId="5F9E02F6" w:rsidR="00651C91" w:rsidRPr="00FC39AB" w:rsidRDefault="009456ED" w:rsidP="00DA1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" w:history="1">
              <w:r w:rsidR="00651C91" w:rsidRPr="00FC39AB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https://metais.finance.gov.sk/studia/detail/4550c784-0fe9-6f97-ab7f-111e0da13e00?tab=basicForm</w:t>
              </w:r>
            </w:hyperlink>
          </w:p>
        </w:tc>
      </w:tr>
      <w:tr w:rsidR="004D7FFC" w:rsidRPr="004D7FFC" w14:paraId="6057ADAF" w14:textId="77777777" w:rsidTr="004D7FFC">
        <w:tc>
          <w:tcPr>
            <w:tcW w:w="36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CCC0D9"/>
            <w:tcMar>
              <w:left w:w="57" w:type="dxa"/>
              <w:right w:w="57" w:type="dxa"/>
            </w:tcMar>
            <w:vAlign w:val="center"/>
          </w:tcPr>
          <w:p w14:paraId="403E0D5D" w14:textId="3FDD34F1" w:rsidR="004D7FFC" w:rsidRPr="00FC39AB" w:rsidRDefault="004D7FFC" w:rsidP="00C5664F">
            <w:pPr>
              <w:spacing w:before="60" w:after="6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C39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V prípade, že štúdia uskutočniteľnosti nie je  dostupná na internete, uveďte webové sídlo a</w:t>
            </w:r>
            <w:r w:rsidR="00C5664F" w:rsidRPr="00FC39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 </w:t>
            </w:r>
            <w:r w:rsidRPr="00FC39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termín, v ktorom predpokladáte jej zverejnenie (mesiac/rok)</w:t>
            </w:r>
          </w:p>
        </w:tc>
        <w:tc>
          <w:tcPr>
            <w:tcW w:w="5698" w:type="dxa"/>
            <w:tcBorders>
              <w:top w:val="single" w:sz="2" w:space="0" w:color="auto"/>
              <w:bottom w:val="single" w:sz="12" w:space="0" w:color="auto"/>
            </w:tcBorders>
          </w:tcPr>
          <w:p w14:paraId="27937E0E" w14:textId="77777777" w:rsidR="004D7FFC" w:rsidRPr="00756D18" w:rsidRDefault="00756D18" w:rsidP="004D7FFC">
            <w:pPr>
              <w:spacing w:before="120" w:after="12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C39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N/A</w:t>
            </w:r>
          </w:p>
        </w:tc>
      </w:tr>
    </w:tbl>
    <w:p w14:paraId="1EAF012C" w14:textId="77777777" w:rsidR="004D41F0" w:rsidRPr="008F6BEC" w:rsidRDefault="004D41F0" w:rsidP="008F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4D41F0" w:rsidRPr="008F6BEC" w:rsidSect="00EB1E4F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D5940" w14:textId="77777777" w:rsidR="009456ED" w:rsidRDefault="009456ED" w:rsidP="004D7FFC">
      <w:pPr>
        <w:spacing w:after="0" w:line="240" w:lineRule="auto"/>
      </w:pPr>
      <w:r>
        <w:separator/>
      </w:r>
    </w:p>
  </w:endnote>
  <w:endnote w:type="continuationSeparator" w:id="0">
    <w:p w14:paraId="2CBF5535" w14:textId="77777777" w:rsidR="009456ED" w:rsidRDefault="009456ED" w:rsidP="004D7FFC">
      <w:pPr>
        <w:spacing w:after="0" w:line="240" w:lineRule="auto"/>
      </w:pPr>
      <w:r>
        <w:continuationSeparator/>
      </w:r>
    </w:p>
  </w:endnote>
  <w:endnote w:type="continuationNotice" w:id="1">
    <w:p w14:paraId="522BDAE5" w14:textId="77777777" w:rsidR="009456ED" w:rsidRDefault="00945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872754"/>
      <w:docPartObj>
        <w:docPartGallery w:val="Page Numbers (Bottom of Page)"/>
        <w:docPartUnique/>
      </w:docPartObj>
    </w:sdtPr>
    <w:sdtEndPr/>
    <w:sdtContent>
      <w:p w14:paraId="6001F1F2" w14:textId="470E1890" w:rsidR="002938BA" w:rsidRDefault="002938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763">
          <w:rPr>
            <w:noProof/>
          </w:rPr>
          <w:t>14</w:t>
        </w:r>
        <w:r>
          <w:fldChar w:fldCharType="end"/>
        </w:r>
      </w:p>
    </w:sdtContent>
  </w:sdt>
  <w:p w14:paraId="45ABBF82" w14:textId="77777777" w:rsidR="002938BA" w:rsidRDefault="002938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48C24" w14:textId="77777777" w:rsidR="009456ED" w:rsidRDefault="009456ED" w:rsidP="004D7FFC">
      <w:pPr>
        <w:spacing w:after="0" w:line="240" w:lineRule="auto"/>
      </w:pPr>
      <w:r>
        <w:separator/>
      </w:r>
    </w:p>
  </w:footnote>
  <w:footnote w:type="continuationSeparator" w:id="0">
    <w:p w14:paraId="415C91B1" w14:textId="77777777" w:rsidR="009456ED" w:rsidRDefault="009456ED" w:rsidP="004D7FFC">
      <w:pPr>
        <w:spacing w:after="0" w:line="240" w:lineRule="auto"/>
      </w:pPr>
      <w:r>
        <w:continuationSeparator/>
      </w:r>
    </w:p>
  </w:footnote>
  <w:footnote w:type="continuationNotice" w:id="1">
    <w:p w14:paraId="28217257" w14:textId="77777777" w:rsidR="009456ED" w:rsidRDefault="009456ED">
      <w:pPr>
        <w:spacing w:after="0" w:line="240" w:lineRule="auto"/>
      </w:pPr>
    </w:p>
  </w:footnote>
  <w:footnote w:id="2">
    <w:p w14:paraId="55832AC3" w14:textId="77777777" w:rsidR="002938BA" w:rsidRDefault="002938BA" w:rsidP="004D7FFC">
      <w:pPr>
        <w:pStyle w:val="Textpoznmkypodiarou"/>
      </w:pPr>
      <w:r>
        <w:rPr>
          <w:rStyle w:val="Odkaznapoznmkupodiarou"/>
        </w:rPr>
        <w:footnoteRef/>
      </w:r>
      <w:r>
        <w:t xml:space="preserve"> V tomto dokumente je používaný pojem prijímateľ a žiadateľ. Je to tá istá osoba, no technicky sa žiadateľ stáva prijímateľom až po podpísaní zmluvy o NFP.</w:t>
      </w:r>
    </w:p>
  </w:footnote>
  <w:footnote w:id="3">
    <w:p w14:paraId="240C6FE1" w14:textId="77777777" w:rsidR="002938BA" w:rsidRDefault="002938BA" w:rsidP="004D7FF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4D7FFC">
        <w:rPr>
          <w:rFonts w:cs="Calibri"/>
        </w:rPr>
        <w:t>Jednoznačne a stručne zdôvodnite výber prijímateľa NP ako jedinečnej osoby oprávnenej na realizáciu NP (napr. odkaz na platné predpisy, operačný program, národnú stratégiu, ktorá odôvodňuje jedinečnosť prijímateľa NP).</w:t>
      </w:r>
      <w:r w:rsidRPr="004D7FFC">
        <w:rPr>
          <w:rFonts w:cs="Calibri"/>
          <w:i/>
        </w:rPr>
        <w:t xml:space="preserve"> </w:t>
      </w:r>
    </w:p>
  </w:footnote>
  <w:footnote w:id="4">
    <w:p w14:paraId="0C2CD9F1" w14:textId="77777777" w:rsidR="002938BA" w:rsidRPr="0023028B" w:rsidRDefault="002938BA" w:rsidP="004D7FF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3028B">
        <w:t>Uveďte dôvody pre výber partnerov (ekonomickí, sociálni, profes</w:t>
      </w:r>
      <w:r>
        <w:t>ij</w:t>
      </w:r>
      <w:r w:rsidRPr="0023028B">
        <w:t>ní...). Odôvodnite dôvody vylúčenia akejkoľvek tretej strany ako potenciálneho realizátora.</w:t>
      </w:r>
    </w:p>
  </w:footnote>
  <w:footnote w:id="5">
    <w:p w14:paraId="2FB1A5CE" w14:textId="77777777" w:rsidR="002938BA" w:rsidRDefault="002938BA" w:rsidP="004D7FF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t>Uveďte, na základe akých kritérií bol partner vybraný, alebo ak boli zverejnené, uveďte odkaz na internetovú stránku, kde sú dostupné.</w:t>
      </w:r>
      <w:r w:rsidRPr="0078438D">
        <w:t xml:space="preserve"> Ako kritérium pre výber - určenie partnera môže byť tiež uvedená predchádzajúca </w:t>
      </w:r>
    </w:p>
  </w:footnote>
  <w:footnote w:id="6">
    <w:p w14:paraId="4D328C9A" w14:textId="77777777" w:rsidR="002938BA" w:rsidRDefault="002938BA" w:rsidP="004D7FF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t>V prípade ak je to relevantné, uveďte aj ukončené národné projekty z programového obdobia 2007-2013.</w:t>
      </w:r>
    </w:p>
  </w:footnote>
  <w:footnote w:id="7">
    <w:p w14:paraId="2748D5B3" w14:textId="77777777" w:rsidR="002938BA" w:rsidRDefault="002938BA" w:rsidP="004D7FF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39E5">
        <w:t>V odôvodnených prípadoch sa uvedená tabuľka nevypĺňa, pričom je nevyhnutné do tejto časti uviesť podrobné a jasné zdôvodnenie, prečo nie j</w:t>
      </w:r>
      <w:r>
        <w:t xml:space="preserve">e možné uviesť požadované údaje. </w:t>
      </w:r>
    </w:p>
  </w:footnote>
  <w:footnote w:id="8">
    <w:p w14:paraId="303B0121" w14:textId="77777777" w:rsidR="002938BA" w:rsidRDefault="002938BA" w:rsidP="004D7FF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t xml:space="preserve">Národný projekt by mal obsahovať minimálne jeden relevantný projektový ukazovateľ, ktorý sa agreguje </w:t>
      </w:r>
      <w:r>
        <w:br/>
        <w:t>do programového ukazovateľa. Pri ostatných projektových ukazovateľoch sa uvedie N/A. Relevantný programový ukazovateľ je automaticky generovaný v ITMS2014+.</w:t>
      </w:r>
    </w:p>
  </w:footnote>
  <w:footnote w:id="9">
    <w:p w14:paraId="62A7254E" w14:textId="77777777" w:rsidR="002938BA" w:rsidRDefault="002938BA" w:rsidP="004D7FF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39E5">
        <w:t>V odôvodnených prípadoch sa uvedená tabuľka nevypĺňa, pričom je nevyhnutné do tejto časti uviesť podrobné a jasné zdôvodnenie, prečo nie j</w:t>
      </w:r>
      <w:r>
        <w:t>e možné uviesť požadované údaje.</w:t>
      </w:r>
    </w:p>
  </w:footnote>
  <w:footnote w:id="10">
    <w:p w14:paraId="414F04C4" w14:textId="77777777" w:rsidR="002938BA" w:rsidRDefault="002938BA" w:rsidP="004D7FF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Ak nie je možné uviesť početnosť cieľovej skupiny, uveďte do tejto časti zdôvodnenie.</w:t>
      </w:r>
    </w:p>
  </w:footnote>
  <w:footnote w:id="11">
    <w:p w14:paraId="0F76AE78" w14:textId="77777777" w:rsidR="002938BA" w:rsidRDefault="002938BA" w:rsidP="004D7FF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DB46EC">
        <w:rPr>
          <w:iCs/>
          <w:color w:val="000000"/>
        </w:rPr>
        <w:t>Investičný projekt</w:t>
      </w:r>
      <w:r>
        <w:rPr>
          <w:i/>
          <w:iCs/>
          <w:color w:val="000000"/>
        </w:rPr>
        <w:t xml:space="preserve"> – </w:t>
      </w:r>
      <w:r>
        <w:rPr>
          <w:color w:val="000000"/>
        </w:rPr>
        <w:t xml:space="preserve">dlhodobá alokácia finančného aj nefinančného kapitálu na naplnenie investičného zámeru až do etapy, kedy projekt vstúpi do prevádzkovej etapy a prípadne začne generovať stabilné príjmy. Investičný projekt smeruje k: výstavbe stavby alebo jej technickému zhodnoteniu; nákupu pozemkov, budov, objektov alebo ich častí; nákupu strojov, prístrojov, tovarov a zariadení; obstaraniu nehmotného majetku vrátane softvéru. Zdroj: </w:t>
      </w:r>
      <w:r w:rsidRPr="00CF5336">
        <w:t>Uznesenie Vlády SR č. 300 z 21.6.2017 k návrhu Rámca na hodnotenie verejných investičných projektov v</w:t>
      </w:r>
      <w:r>
        <w:t> </w:t>
      </w:r>
      <w:r w:rsidRPr="00CF5336">
        <w:t>SR</w:t>
      </w:r>
      <w:r>
        <w:t>.</w:t>
      </w:r>
    </w:p>
  </w:footnote>
  <w:footnote w:id="12">
    <w:p w14:paraId="570FEE36" w14:textId="77777777" w:rsidR="002938BA" w:rsidRDefault="002938BA" w:rsidP="004D7FF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 </w:t>
      </w:r>
      <w:r>
        <w:t xml:space="preserve">Pozri aj </w:t>
      </w:r>
      <w:r w:rsidRPr="00D06BEC">
        <w:t>Uznesen</w:t>
      </w:r>
      <w:r>
        <w:t>ie</w:t>
      </w:r>
      <w:r w:rsidRPr="00D06BEC">
        <w:t xml:space="preserve"> Vlády SR č. 300 z 21.6.2017 k návrhu k návrhu Rámca na hodnotenie verejných investičných projektov v</w:t>
      </w:r>
      <w:r>
        <w:t> </w:t>
      </w:r>
      <w:r w:rsidRPr="00D06BEC">
        <w:t>SR</w:t>
      </w:r>
      <w:r>
        <w:t xml:space="preserve"> (dostupné na:</w:t>
      </w:r>
    </w:p>
    <w:p w14:paraId="19326570" w14:textId="77777777" w:rsidR="002938BA" w:rsidRDefault="009456ED" w:rsidP="004D7FFC">
      <w:pPr>
        <w:pStyle w:val="Textpoznmkypodiarou"/>
        <w:jc w:val="both"/>
      </w:pPr>
      <w:hyperlink r:id="rId1" w:history="1">
        <w:r w:rsidR="002938BA" w:rsidRPr="00F2730A">
          <w:rPr>
            <w:rStyle w:val="Hypertextovprepojenie1"/>
          </w:rPr>
          <w:t>http://www.rokovania.sk/Rokovanie.aspx/BodRokovaniaDetail?idMaterial=26598</w:t>
        </w:r>
      </w:hyperlink>
      <w:r w:rsidR="002938BA"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41509" w14:textId="77777777" w:rsidR="002938BA" w:rsidRPr="00627EA3" w:rsidRDefault="002938BA" w:rsidP="00EB1E4F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DAF1F" w14:textId="77777777" w:rsidR="002938BA" w:rsidRDefault="002938BA">
    <w:pPr>
      <w:pStyle w:val="Hlavika"/>
    </w:pPr>
    <w:r>
      <w:t>Príloha č. 3</w:t>
    </w:r>
    <w:r w:rsidRPr="004D7FFC">
      <w:t xml:space="preserve">4 </w:t>
    </w:r>
    <w:r>
      <w:t>–</w:t>
    </w:r>
    <w:r w:rsidRPr="004D7FFC">
      <w:t xml:space="preserve"> Zá</w:t>
    </w:r>
    <w:r>
      <w:t>mer národného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FC5"/>
    <w:multiLevelType w:val="hybridMultilevel"/>
    <w:tmpl w:val="C728CD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188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EC1"/>
    <w:multiLevelType w:val="hybridMultilevel"/>
    <w:tmpl w:val="9C502C84"/>
    <w:lvl w:ilvl="0" w:tplc="15245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E3334"/>
    <w:multiLevelType w:val="hybridMultilevel"/>
    <w:tmpl w:val="0EC2862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D314D"/>
    <w:multiLevelType w:val="hybridMultilevel"/>
    <w:tmpl w:val="39A6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75FE6"/>
    <w:multiLevelType w:val="hybridMultilevel"/>
    <w:tmpl w:val="783036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B16418"/>
    <w:multiLevelType w:val="hybridMultilevel"/>
    <w:tmpl w:val="94A29898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Arial" w:hint="default"/>
      </w:rPr>
    </w:lvl>
    <w:lvl w:ilvl="1" w:tplc="7B5017B4">
      <w:start w:val="1"/>
      <w:numFmt w:val="bullet"/>
      <w:pStyle w:val="NT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A200156"/>
    <w:multiLevelType w:val="hybridMultilevel"/>
    <w:tmpl w:val="BC0CB66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447651E"/>
    <w:multiLevelType w:val="hybridMultilevel"/>
    <w:tmpl w:val="EEDE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66127"/>
    <w:multiLevelType w:val="hybridMultilevel"/>
    <w:tmpl w:val="9FD8AF3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>
    <w:nsid w:val="3789508F"/>
    <w:multiLevelType w:val="hybridMultilevel"/>
    <w:tmpl w:val="99B2EF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B4474"/>
    <w:multiLevelType w:val="hybridMultilevel"/>
    <w:tmpl w:val="B7A60C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27D3F"/>
    <w:multiLevelType w:val="hybridMultilevel"/>
    <w:tmpl w:val="CDB4013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801F55"/>
    <w:multiLevelType w:val="hybridMultilevel"/>
    <w:tmpl w:val="5BCCFD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D97B0D"/>
    <w:multiLevelType w:val="hybridMultilevel"/>
    <w:tmpl w:val="68642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430E1"/>
    <w:multiLevelType w:val="hybridMultilevel"/>
    <w:tmpl w:val="BA54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F58C7"/>
    <w:multiLevelType w:val="hybridMultilevel"/>
    <w:tmpl w:val="2B523B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96514"/>
    <w:multiLevelType w:val="hybridMultilevel"/>
    <w:tmpl w:val="EAA0A1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0322FFE"/>
    <w:multiLevelType w:val="hybridMultilevel"/>
    <w:tmpl w:val="CD4A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F3271"/>
    <w:multiLevelType w:val="hybridMultilevel"/>
    <w:tmpl w:val="C7A6C5D0"/>
    <w:lvl w:ilvl="0" w:tplc="7620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459C9"/>
    <w:multiLevelType w:val="hybridMultilevel"/>
    <w:tmpl w:val="2ADA73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80409"/>
    <w:multiLevelType w:val="hybridMultilevel"/>
    <w:tmpl w:val="DF3CA432"/>
    <w:lvl w:ilvl="0" w:tplc="6FBE4CC0">
      <w:start w:val="7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90C06"/>
    <w:multiLevelType w:val="hybridMultilevel"/>
    <w:tmpl w:val="D7D2387E"/>
    <w:lvl w:ilvl="0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AFE60BA"/>
    <w:multiLevelType w:val="hybridMultilevel"/>
    <w:tmpl w:val="1228FA26"/>
    <w:lvl w:ilvl="0" w:tplc="F2FEB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E870D3"/>
    <w:multiLevelType w:val="hybridMultilevel"/>
    <w:tmpl w:val="52BC8E44"/>
    <w:lvl w:ilvl="0" w:tplc="F2FEB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338BB"/>
    <w:multiLevelType w:val="hybridMultilevel"/>
    <w:tmpl w:val="3A3EE06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18"/>
  </w:num>
  <w:num w:numId="6">
    <w:abstractNumId w:val="12"/>
  </w:num>
  <w:num w:numId="7">
    <w:abstractNumId w:val="22"/>
  </w:num>
  <w:num w:numId="8">
    <w:abstractNumId w:val="23"/>
  </w:num>
  <w:num w:numId="9">
    <w:abstractNumId w:val="15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3"/>
  </w:num>
  <w:num w:numId="15">
    <w:abstractNumId w:val="11"/>
  </w:num>
  <w:num w:numId="16">
    <w:abstractNumId w:val="24"/>
  </w:num>
  <w:num w:numId="17">
    <w:abstractNumId w:val="17"/>
  </w:num>
  <w:num w:numId="18">
    <w:abstractNumId w:val="20"/>
  </w:num>
  <w:num w:numId="19">
    <w:abstractNumId w:val="4"/>
  </w:num>
  <w:num w:numId="20">
    <w:abstractNumId w:val="7"/>
  </w:num>
  <w:num w:numId="21">
    <w:abstractNumId w:val="21"/>
  </w:num>
  <w:num w:numId="22">
    <w:abstractNumId w:val="6"/>
  </w:num>
  <w:num w:numId="23">
    <w:abstractNumId w:val="2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3B"/>
    <w:rsid w:val="00002E74"/>
    <w:rsid w:val="0001246A"/>
    <w:rsid w:val="000158A6"/>
    <w:rsid w:val="000233F5"/>
    <w:rsid w:val="00023DA8"/>
    <w:rsid w:val="000243B1"/>
    <w:rsid w:val="000246D2"/>
    <w:rsid w:val="00027CD3"/>
    <w:rsid w:val="00041540"/>
    <w:rsid w:val="00050813"/>
    <w:rsid w:val="00050E02"/>
    <w:rsid w:val="000516A6"/>
    <w:rsid w:val="00056190"/>
    <w:rsid w:val="00056B69"/>
    <w:rsid w:val="00061828"/>
    <w:rsid w:val="00063F34"/>
    <w:rsid w:val="000676B1"/>
    <w:rsid w:val="00067743"/>
    <w:rsid w:val="0007192A"/>
    <w:rsid w:val="00074179"/>
    <w:rsid w:val="000761DF"/>
    <w:rsid w:val="00082B02"/>
    <w:rsid w:val="0008505A"/>
    <w:rsid w:val="000862DF"/>
    <w:rsid w:val="000873F7"/>
    <w:rsid w:val="000946D2"/>
    <w:rsid w:val="000963A4"/>
    <w:rsid w:val="00096459"/>
    <w:rsid w:val="00097F7F"/>
    <w:rsid w:val="000A2520"/>
    <w:rsid w:val="000A2977"/>
    <w:rsid w:val="000A31FE"/>
    <w:rsid w:val="000A61AB"/>
    <w:rsid w:val="000B5D88"/>
    <w:rsid w:val="000B710A"/>
    <w:rsid w:val="000C30B6"/>
    <w:rsid w:val="000C41EE"/>
    <w:rsid w:val="000C662B"/>
    <w:rsid w:val="000D21B6"/>
    <w:rsid w:val="000D7CF5"/>
    <w:rsid w:val="000E754E"/>
    <w:rsid w:val="000F0786"/>
    <w:rsid w:val="000F59E0"/>
    <w:rsid w:val="000F5EA9"/>
    <w:rsid w:val="000F6E8A"/>
    <w:rsid w:val="0010411C"/>
    <w:rsid w:val="00113BA5"/>
    <w:rsid w:val="001159C8"/>
    <w:rsid w:val="001239DD"/>
    <w:rsid w:val="00126EBF"/>
    <w:rsid w:val="00132211"/>
    <w:rsid w:val="00134D5B"/>
    <w:rsid w:val="00140473"/>
    <w:rsid w:val="00142B4B"/>
    <w:rsid w:val="00153D72"/>
    <w:rsid w:val="00155FBB"/>
    <w:rsid w:val="001568D6"/>
    <w:rsid w:val="00167325"/>
    <w:rsid w:val="001806E2"/>
    <w:rsid w:val="00182D0F"/>
    <w:rsid w:val="0018662B"/>
    <w:rsid w:val="001915E6"/>
    <w:rsid w:val="00192563"/>
    <w:rsid w:val="00193C13"/>
    <w:rsid w:val="00195A6A"/>
    <w:rsid w:val="001A1322"/>
    <w:rsid w:val="001A5D21"/>
    <w:rsid w:val="001A7B3B"/>
    <w:rsid w:val="001B00D4"/>
    <w:rsid w:val="001B56D0"/>
    <w:rsid w:val="001D0A85"/>
    <w:rsid w:val="001D3513"/>
    <w:rsid w:val="001D40E3"/>
    <w:rsid w:val="001D67EE"/>
    <w:rsid w:val="001D725D"/>
    <w:rsid w:val="001E38C5"/>
    <w:rsid w:val="001E4447"/>
    <w:rsid w:val="001F2602"/>
    <w:rsid w:val="00203A18"/>
    <w:rsid w:val="00205383"/>
    <w:rsid w:val="002076B4"/>
    <w:rsid w:val="002171BA"/>
    <w:rsid w:val="00224AAD"/>
    <w:rsid w:val="00225FCB"/>
    <w:rsid w:val="00227D98"/>
    <w:rsid w:val="00235A9E"/>
    <w:rsid w:val="0023722A"/>
    <w:rsid w:val="00237304"/>
    <w:rsid w:val="00240287"/>
    <w:rsid w:val="00243AAC"/>
    <w:rsid w:val="0025576D"/>
    <w:rsid w:val="002726E7"/>
    <w:rsid w:val="00283D60"/>
    <w:rsid w:val="0028607E"/>
    <w:rsid w:val="00286362"/>
    <w:rsid w:val="00286489"/>
    <w:rsid w:val="00292607"/>
    <w:rsid w:val="0029317C"/>
    <w:rsid w:val="002936AD"/>
    <w:rsid w:val="002938BA"/>
    <w:rsid w:val="002950AF"/>
    <w:rsid w:val="00297DA3"/>
    <w:rsid w:val="002C12BF"/>
    <w:rsid w:val="002E18AD"/>
    <w:rsid w:val="002E18DA"/>
    <w:rsid w:val="002E7429"/>
    <w:rsid w:val="00303612"/>
    <w:rsid w:val="00310EE9"/>
    <w:rsid w:val="00321872"/>
    <w:rsid w:val="00322C5A"/>
    <w:rsid w:val="0032340A"/>
    <w:rsid w:val="00327EA6"/>
    <w:rsid w:val="00332A58"/>
    <w:rsid w:val="00333EDD"/>
    <w:rsid w:val="003379BB"/>
    <w:rsid w:val="003408A5"/>
    <w:rsid w:val="00340F67"/>
    <w:rsid w:val="00342B0B"/>
    <w:rsid w:val="0034340D"/>
    <w:rsid w:val="00345FAA"/>
    <w:rsid w:val="003514C1"/>
    <w:rsid w:val="00351D6B"/>
    <w:rsid w:val="00354263"/>
    <w:rsid w:val="003553BE"/>
    <w:rsid w:val="0035799E"/>
    <w:rsid w:val="00367591"/>
    <w:rsid w:val="00372285"/>
    <w:rsid w:val="003764A2"/>
    <w:rsid w:val="003776CA"/>
    <w:rsid w:val="00377726"/>
    <w:rsid w:val="00391407"/>
    <w:rsid w:val="00393B6B"/>
    <w:rsid w:val="00396342"/>
    <w:rsid w:val="00396567"/>
    <w:rsid w:val="003A1719"/>
    <w:rsid w:val="003A1DB2"/>
    <w:rsid w:val="003A43BE"/>
    <w:rsid w:val="003C3219"/>
    <w:rsid w:val="003C3421"/>
    <w:rsid w:val="003C3ED6"/>
    <w:rsid w:val="003D3A6C"/>
    <w:rsid w:val="003D4450"/>
    <w:rsid w:val="003E2B95"/>
    <w:rsid w:val="003E73F4"/>
    <w:rsid w:val="003F7193"/>
    <w:rsid w:val="00410A31"/>
    <w:rsid w:val="00415668"/>
    <w:rsid w:val="004165EB"/>
    <w:rsid w:val="004176FB"/>
    <w:rsid w:val="004208C2"/>
    <w:rsid w:val="004327E4"/>
    <w:rsid w:val="00432A82"/>
    <w:rsid w:val="00443B64"/>
    <w:rsid w:val="00446BCF"/>
    <w:rsid w:val="004474F6"/>
    <w:rsid w:val="004501C2"/>
    <w:rsid w:val="00455F16"/>
    <w:rsid w:val="00457AE6"/>
    <w:rsid w:val="004662EF"/>
    <w:rsid w:val="00466328"/>
    <w:rsid w:val="00473810"/>
    <w:rsid w:val="004746B7"/>
    <w:rsid w:val="00474D5A"/>
    <w:rsid w:val="0048211B"/>
    <w:rsid w:val="0048759D"/>
    <w:rsid w:val="00493BFF"/>
    <w:rsid w:val="004A249A"/>
    <w:rsid w:val="004B5020"/>
    <w:rsid w:val="004B7A83"/>
    <w:rsid w:val="004C08AC"/>
    <w:rsid w:val="004C708D"/>
    <w:rsid w:val="004D2D15"/>
    <w:rsid w:val="004D41F0"/>
    <w:rsid w:val="004D7FFC"/>
    <w:rsid w:val="004E196C"/>
    <w:rsid w:val="004E1E00"/>
    <w:rsid w:val="004E4750"/>
    <w:rsid w:val="004E6413"/>
    <w:rsid w:val="004F0895"/>
    <w:rsid w:val="004F532B"/>
    <w:rsid w:val="004F5CD2"/>
    <w:rsid w:val="004F6EF5"/>
    <w:rsid w:val="005056A5"/>
    <w:rsid w:val="005148BB"/>
    <w:rsid w:val="00517E5B"/>
    <w:rsid w:val="00523CB9"/>
    <w:rsid w:val="00525B45"/>
    <w:rsid w:val="00530876"/>
    <w:rsid w:val="0053679C"/>
    <w:rsid w:val="005438E8"/>
    <w:rsid w:val="00546BBF"/>
    <w:rsid w:val="0055106C"/>
    <w:rsid w:val="00560B75"/>
    <w:rsid w:val="0056519B"/>
    <w:rsid w:val="0057205D"/>
    <w:rsid w:val="00577566"/>
    <w:rsid w:val="00584EE2"/>
    <w:rsid w:val="005860E5"/>
    <w:rsid w:val="0058768C"/>
    <w:rsid w:val="00587B5F"/>
    <w:rsid w:val="005915E2"/>
    <w:rsid w:val="005926C0"/>
    <w:rsid w:val="0059397D"/>
    <w:rsid w:val="005A06DA"/>
    <w:rsid w:val="005B2288"/>
    <w:rsid w:val="005C114C"/>
    <w:rsid w:val="005C30F0"/>
    <w:rsid w:val="005C3C25"/>
    <w:rsid w:val="005C531C"/>
    <w:rsid w:val="005D065B"/>
    <w:rsid w:val="005D1BE1"/>
    <w:rsid w:val="005D7B3A"/>
    <w:rsid w:val="005E075B"/>
    <w:rsid w:val="005E21FA"/>
    <w:rsid w:val="005E4853"/>
    <w:rsid w:val="005E5287"/>
    <w:rsid w:val="005F33D4"/>
    <w:rsid w:val="005F6B39"/>
    <w:rsid w:val="005F7BE0"/>
    <w:rsid w:val="00600831"/>
    <w:rsid w:val="00600A69"/>
    <w:rsid w:val="006047EC"/>
    <w:rsid w:val="00604E18"/>
    <w:rsid w:val="00610432"/>
    <w:rsid w:val="00611A92"/>
    <w:rsid w:val="00615D1A"/>
    <w:rsid w:val="00617AB1"/>
    <w:rsid w:val="00620927"/>
    <w:rsid w:val="006264C9"/>
    <w:rsid w:val="00627249"/>
    <w:rsid w:val="0063361B"/>
    <w:rsid w:val="00635565"/>
    <w:rsid w:val="0064279B"/>
    <w:rsid w:val="006445D1"/>
    <w:rsid w:val="00644A4E"/>
    <w:rsid w:val="00651C91"/>
    <w:rsid w:val="00653122"/>
    <w:rsid w:val="0065511E"/>
    <w:rsid w:val="006565A4"/>
    <w:rsid w:val="00660BC9"/>
    <w:rsid w:val="00664950"/>
    <w:rsid w:val="00665619"/>
    <w:rsid w:val="0066671C"/>
    <w:rsid w:val="00671243"/>
    <w:rsid w:val="00675DCA"/>
    <w:rsid w:val="0068004F"/>
    <w:rsid w:val="00680688"/>
    <w:rsid w:val="00693DEB"/>
    <w:rsid w:val="006956CD"/>
    <w:rsid w:val="00696904"/>
    <w:rsid w:val="00696F23"/>
    <w:rsid w:val="006A537F"/>
    <w:rsid w:val="006B15C8"/>
    <w:rsid w:val="006B3F2B"/>
    <w:rsid w:val="006B4DC9"/>
    <w:rsid w:val="006B50A5"/>
    <w:rsid w:val="006C13AE"/>
    <w:rsid w:val="006C31A8"/>
    <w:rsid w:val="006C51EA"/>
    <w:rsid w:val="006C5E8F"/>
    <w:rsid w:val="006D1F9A"/>
    <w:rsid w:val="006D4990"/>
    <w:rsid w:val="006E1028"/>
    <w:rsid w:val="006E6161"/>
    <w:rsid w:val="006E644C"/>
    <w:rsid w:val="006F1D82"/>
    <w:rsid w:val="007015FF"/>
    <w:rsid w:val="007059FB"/>
    <w:rsid w:val="00711064"/>
    <w:rsid w:val="007175E3"/>
    <w:rsid w:val="0072639C"/>
    <w:rsid w:val="007372DC"/>
    <w:rsid w:val="00737E97"/>
    <w:rsid w:val="00741280"/>
    <w:rsid w:val="00750D79"/>
    <w:rsid w:val="00753CB4"/>
    <w:rsid w:val="00755BF6"/>
    <w:rsid w:val="00756D18"/>
    <w:rsid w:val="00765DBE"/>
    <w:rsid w:val="00771B27"/>
    <w:rsid w:val="00775081"/>
    <w:rsid w:val="007761AF"/>
    <w:rsid w:val="00781E02"/>
    <w:rsid w:val="00787632"/>
    <w:rsid w:val="00787B22"/>
    <w:rsid w:val="00791AE3"/>
    <w:rsid w:val="007A0C4A"/>
    <w:rsid w:val="007A445B"/>
    <w:rsid w:val="007A6054"/>
    <w:rsid w:val="007C1697"/>
    <w:rsid w:val="007C230E"/>
    <w:rsid w:val="007C4E04"/>
    <w:rsid w:val="007D64B0"/>
    <w:rsid w:val="007E13BD"/>
    <w:rsid w:val="007F5CD1"/>
    <w:rsid w:val="00810B0A"/>
    <w:rsid w:val="008151D6"/>
    <w:rsid w:val="00820972"/>
    <w:rsid w:val="00822FC6"/>
    <w:rsid w:val="0083341B"/>
    <w:rsid w:val="0083768E"/>
    <w:rsid w:val="008406EB"/>
    <w:rsid w:val="00851FCB"/>
    <w:rsid w:val="008553D9"/>
    <w:rsid w:val="0086215D"/>
    <w:rsid w:val="008640FF"/>
    <w:rsid w:val="00866B60"/>
    <w:rsid w:val="008676AB"/>
    <w:rsid w:val="00871DC4"/>
    <w:rsid w:val="008769A2"/>
    <w:rsid w:val="00876D4E"/>
    <w:rsid w:val="008914D1"/>
    <w:rsid w:val="008915E7"/>
    <w:rsid w:val="008A655E"/>
    <w:rsid w:val="008A7150"/>
    <w:rsid w:val="008B15E8"/>
    <w:rsid w:val="008B3C52"/>
    <w:rsid w:val="008B5C0F"/>
    <w:rsid w:val="008B6EA9"/>
    <w:rsid w:val="008C5DAD"/>
    <w:rsid w:val="008C674C"/>
    <w:rsid w:val="008D3EF4"/>
    <w:rsid w:val="008E5D4C"/>
    <w:rsid w:val="008E7E21"/>
    <w:rsid w:val="008F6BEC"/>
    <w:rsid w:val="009049DF"/>
    <w:rsid w:val="00907CF4"/>
    <w:rsid w:val="00913E92"/>
    <w:rsid w:val="00915978"/>
    <w:rsid w:val="00920733"/>
    <w:rsid w:val="00933563"/>
    <w:rsid w:val="009423C7"/>
    <w:rsid w:val="0094359B"/>
    <w:rsid w:val="009456ED"/>
    <w:rsid w:val="00954036"/>
    <w:rsid w:val="00954E8C"/>
    <w:rsid w:val="009562F8"/>
    <w:rsid w:val="00963DBA"/>
    <w:rsid w:val="00964AA7"/>
    <w:rsid w:val="009654E2"/>
    <w:rsid w:val="009677E2"/>
    <w:rsid w:val="00977526"/>
    <w:rsid w:val="00995957"/>
    <w:rsid w:val="0099792A"/>
    <w:rsid w:val="009A3B96"/>
    <w:rsid w:val="009A462D"/>
    <w:rsid w:val="009A7DC3"/>
    <w:rsid w:val="009A7F40"/>
    <w:rsid w:val="009B0D41"/>
    <w:rsid w:val="009B63A5"/>
    <w:rsid w:val="009C53E7"/>
    <w:rsid w:val="009D0758"/>
    <w:rsid w:val="009D5CA3"/>
    <w:rsid w:val="009D656F"/>
    <w:rsid w:val="009E6412"/>
    <w:rsid w:val="009F09CB"/>
    <w:rsid w:val="009F240C"/>
    <w:rsid w:val="00A00391"/>
    <w:rsid w:val="00A059A0"/>
    <w:rsid w:val="00A1228A"/>
    <w:rsid w:val="00A13DF3"/>
    <w:rsid w:val="00A1751A"/>
    <w:rsid w:val="00A21997"/>
    <w:rsid w:val="00A23418"/>
    <w:rsid w:val="00A36737"/>
    <w:rsid w:val="00A43B87"/>
    <w:rsid w:val="00A5062B"/>
    <w:rsid w:val="00A52EF6"/>
    <w:rsid w:val="00A558A2"/>
    <w:rsid w:val="00A55C52"/>
    <w:rsid w:val="00A56881"/>
    <w:rsid w:val="00A60D50"/>
    <w:rsid w:val="00A634C1"/>
    <w:rsid w:val="00A8184A"/>
    <w:rsid w:val="00A84D47"/>
    <w:rsid w:val="00A86940"/>
    <w:rsid w:val="00AA2EF3"/>
    <w:rsid w:val="00AA6D0F"/>
    <w:rsid w:val="00AB3C59"/>
    <w:rsid w:val="00AC2A19"/>
    <w:rsid w:val="00AC2E28"/>
    <w:rsid w:val="00AC463F"/>
    <w:rsid w:val="00AD302B"/>
    <w:rsid w:val="00AF2894"/>
    <w:rsid w:val="00B02086"/>
    <w:rsid w:val="00B043CB"/>
    <w:rsid w:val="00B07016"/>
    <w:rsid w:val="00B07DBA"/>
    <w:rsid w:val="00B13B3F"/>
    <w:rsid w:val="00B13D7D"/>
    <w:rsid w:val="00B1592B"/>
    <w:rsid w:val="00B16529"/>
    <w:rsid w:val="00B24F40"/>
    <w:rsid w:val="00B36E86"/>
    <w:rsid w:val="00B441EE"/>
    <w:rsid w:val="00B529ED"/>
    <w:rsid w:val="00B56EB5"/>
    <w:rsid w:val="00B57B54"/>
    <w:rsid w:val="00B608F3"/>
    <w:rsid w:val="00B61A4E"/>
    <w:rsid w:val="00B61E6D"/>
    <w:rsid w:val="00B65974"/>
    <w:rsid w:val="00B66F51"/>
    <w:rsid w:val="00B67066"/>
    <w:rsid w:val="00B75DC1"/>
    <w:rsid w:val="00B76D2B"/>
    <w:rsid w:val="00B82696"/>
    <w:rsid w:val="00B82E34"/>
    <w:rsid w:val="00B8355C"/>
    <w:rsid w:val="00B92DD0"/>
    <w:rsid w:val="00B9575C"/>
    <w:rsid w:val="00B9577E"/>
    <w:rsid w:val="00BA1524"/>
    <w:rsid w:val="00BA7027"/>
    <w:rsid w:val="00BA7F3A"/>
    <w:rsid w:val="00BB014B"/>
    <w:rsid w:val="00BB01B5"/>
    <w:rsid w:val="00BB3D97"/>
    <w:rsid w:val="00BB7B9A"/>
    <w:rsid w:val="00BC2B05"/>
    <w:rsid w:val="00BC5A49"/>
    <w:rsid w:val="00BC60EF"/>
    <w:rsid w:val="00BD2854"/>
    <w:rsid w:val="00BE4F1E"/>
    <w:rsid w:val="00BE63D8"/>
    <w:rsid w:val="00BF3746"/>
    <w:rsid w:val="00BF56E5"/>
    <w:rsid w:val="00C055D6"/>
    <w:rsid w:val="00C05D87"/>
    <w:rsid w:val="00C104A5"/>
    <w:rsid w:val="00C12CB2"/>
    <w:rsid w:val="00C15CAA"/>
    <w:rsid w:val="00C51C68"/>
    <w:rsid w:val="00C53905"/>
    <w:rsid w:val="00C5664F"/>
    <w:rsid w:val="00C569B5"/>
    <w:rsid w:val="00C56F33"/>
    <w:rsid w:val="00C71046"/>
    <w:rsid w:val="00C72CC5"/>
    <w:rsid w:val="00C730A6"/>
    <w:rsid w:val="00C76ADA"/>
    <w:rsid w:val="00C863B8"/>
    <w:rsid w:val="00C907E4"/>
    <w:rsid w:val="00C93978"/>
    <w:rsid w:val="00C94F93"/>
    <w:rsid w:val="00C979E8"/>
    <w:rsid w:val="00CA79D1"/>
    <w:rsid w:val="00CA7C04"/>
    <w:rsid w:val="00CB5802"/>
    <w:rsid w:val="00CC0A9A"/>
    <w:rsid w:val="00CC3659"/>
    <w:rsid w:val="00CC3BB7"/>
    <w:rsid w:val="00CD15E6"/>
    <w:rsid w:val="00CE659B"/>
    <w:rsid w:val="00CF2EC8"/>
    <w:rsid w:val="00CF727E"/>
    <w:rsid w:val="00D00A6B"/>
    <w:rsid w:val="00D02354"/>
    <w:rsid w:val="00D116C1"/>
    <w:rsid w:val="00D151BA"/>
    <w:rsid w:val="00D1525D"/>
    <w:rsid w:val="00D153FC"/>
    <w:rsid w:val="00D15C81"/>
    <w:rsid w:val="00D24050"/>
    <w:rsid w:val="00D27E77"/>
    <w:rsid w:val="00D42C6F"/>
    <w:rsid w:val="00D503EE"/>
    <w:rsid w:val="00D507AB"/>
    <w:rsid w:val="00D6442B"/>
    <w:rsid w:val="00D66799"/>
    <w:rsid w:val="00D8144C"/>
    <w:rsid w:val="00D868A6"/>
    <w:rsid w:val="00D87E5A"/>
    <w:rsid w:val="00D90C89"/>
    <w:rsid w:val="00D928C7"/>
    <w:rsid w:val="00D95B89"/>
    <w:rsid w:val="00D96165"/>
    <w:rsid w:val="00D96552"/>
    <w:rsid w:val="00D96B3B"/>
    <w:rsid w:val="00DA013E"/>
    <w:rsid w:val="00DA16B5"/>
    <w:rsid w:val="00DB1CE1"/>
    <w:rsid w:val="00DB2F43"/>
    <w:rsid w:val="00DB3E18"/>
    <w:rsid w:val="00DD5778"/>
    <w:rsid w:val="00DE5162"/>
    <w:rsid w:val="00DE62F5"/>
    <w:rsid w:val="00DF3247"/>
    <w:rsid w:val="00DF5463"/>
    <w:rsid w:val="00E0000D"/>
    <w:rsid w:val="00E12DAF"/>
    <w:rsid w:val="00E17592"/>
    <w:rsid w:val="00E20107"/>
    <w:rsid w:val="00E2227A"/>
    <w:rsid w:val="00E243D9"/>
    <w:rsid w:val="00E25193"/>
    <w:rsid w:val="00E258FC"/>
    <w:rsid w:val="00E31C58"/>
    <w:rsid w:val="00E41152"/>
    <w:rsid w:val="00E45D9C"/>
    <w:rsid w:val="00E469B4"/>
    <w:rsid w:val="00E47B64"/>
    <w:rsid w:val="00E507F9"/>
    <w:rsid w:val="00E50FE9"/>
    <w:rsid w:val="00E511E4"/>
    <w:rsid w:val="00E62817"/>
    <w:rsid w:val="00E64154"/>
    <w:rsid w:val="00E6458B"/>
    <w:rsid w:val="00E84972"/>
    <w:rsid w:val="00EA6180"/>
    <w:rsid w:val="00EB1E4F"/>
    <w:rsid w:val="00EB3839"/>
    <w:rsid w:val="00EB3BE8"/>
    <w:rsid w:val="00EC5656"/>
    <w:rsid w:val="00EC6375"/>
    <w:rsid w:val="00EC7CD5"/>
    <w:rsid w:val="00ED0A0D"/>
    <w:rsid w:val="00ED0F43"/>
    <w:rsid w:val="00ED1276"/>
    <w:rsid w:val="00ED2ED0"/>
    <w:rsid w:val="00ED7189"/>
    <w:rsid w:val="00EF1ED1"/>
    <w:rsid w:val="00EF3FC2"/>
    <w:rsid w:val="00EF44D8"/>
    <w:rsid w:val="00EF5820"/>
    <w:rsid w:val="00EF60EF"/>
    <w:rsid w:val="00F000ED"/>
    <w:rsid w:val="00F07719"/>
    <w:rsid w:val="00F10763"/>
    <w:rsid w:val="00F10BE0"/>
    <w:rsid w:val="00F13172"/>
    <w:rsid w:val="00F3640D"/>
    <w:rsid w:val="00F36A19"/>
    <w:rsid w:val="00F37A91"/>
    <w:rsid w:val="00F40814"/>
    <w:rsid w:val="00F4302E"/>
    <w:rsid w:val="00F4446C"/>
    <w:rsid w:val="00F52256"/>
    <w:rsid w:val="00F7548E"/>
    <w:rsid w:val="00F80778"/>
    <w:rsid w:val="00F85CB8"/>
    <w:rsid w:val="00F85FCF"/>
    <w:rsid w:val="00F92EB6"/>
    <w:rsid w:val="00F9432A"/>
    <w:rsid w:val="00F95338"/>
    <w:rsid w:val="00F95AAF"/>
    <w:rsid w:val="00F96025"/>
    <w:rsid w:val="00F9710C"/>
    <w:rsid w:val="00FA0D15"/>
    <w:rsid w:val="00FA7661"/>
    <w:rsid w:val="00FB5D7D"/>
    <w:rsid w:val="00FB76EA"/>
    <w:rsid w:val="00FC39AB"/>
    <w:rsid w:val="00FC74AB"/>
    <w:rsid w:val="00FD5E3E"/>
    <w:rsid w:val="00FE2F3C"/>
    <w:rsid w:val="00FE3843"/>
    <w:rsid w:val="00FE3E1C"/>
    <w:rsid w:val="00FE6FD6"/>
    <w:rsid w:val="00FF02A4"/>
    <w:rsid w:val="00FF1F00"/>
    <w:rsid w:val="00FF485A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C9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basedOn w:val="Predvolenpsmoodseku"/>
    <w:uiPriority w:val="99"/>
    <w:unhideWhenUsed/>
    <w:rsid w:val="004D7FF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D7F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4D7F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D7F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D7F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D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D7FF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4D7FFC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4D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D7FFC"/>
    <w:rPr>
      <w:color w:val="0563C1" w:themeColor="hyperlink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rsid w:val="004D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51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4C1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C531C"/>
    <w:pPr>
      <w:ind w:left="720"/>
      <w:contextualSpacing/>
    </w:pPr>
  </w:style>
  <w:style w:type="paragraph" w:customStyle="1" w:styleId="xl25">
    <w:name w:val="xl25"/>
    <w:basedOn w:val="Normlny"/>
    <w:rsid w:val="00C56F3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ind w:firstLineChars="300" w:firstLine="300"/>
      <w:jc w:val="both"/>
    </w:pPr>
    <w:rPr>
      <w:rFonts w:ascii="Arial Narrow" w:eastAsia="Arial Unicode MS" w:hAnsi="Arial Narrow" w:cs="Arial"/>
      <w:sz w:val="24"/>
      <w:lang w:eastAsia="sk-SK"/>
    </w:rPr>
  </w:style>
  <w:style w:type="paragraph" w:customStyle="1" w:styleId="NTbullet">
    <w:name w:val="+NT/bullet"/>
    <w:basedOn w:val="Normlny"/>
    <w:autoRedefine/>
    <w:rsid w:val="00C56F33"/>
    <w:pPr>
      <w:widowControl w:val="0"/>
      <w:numPr>
        <w:ilvl w:val="1"/>
        <w:numId w:val="4"/>
      </w:numPr>
      <w:tabs>
        <w:tab w:val="clear" w:pos="2148"/>
      </w:tabs>
      <w:spacing w:after="120" w:line="240" w:lineRule="auto"/>
      <w:ind w:left="1440"/>
      <w:jc w:val="both"/>
    </w:pPr>
    <w:rPr>
      <w:rFonts w:ascii="Garamond" w:eastAsia="Times New Roman" w:hAnsi="Garamond" w:cs="Garamond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201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201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2010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01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0107"/>
    <w:rPr>
      <w:b/>
      <w:bCs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27E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27E77"/>
    <w:rPr>
      <w:rFonts w:ascii="Times New Roman" w:hAnsi="Times New Roman" w:cs="Times New Roman"/>
      <w:sz w:val="24"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D27E77"/>
  </w:style>
  <w:style w:type="character" w:styleId="Zvraznenie">
    <w:name w:val="Emphasis"/>
    <w:basedOn w:val="Predvolenpsmoodseku"/>
    <w:uiPriority w:val="20"/>
    <w:qFormat/>
    <w:rsid w:val="009654E2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4F40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140473"/>
    <w:pPr>
      <w:spacing w:after="0" w:line="240" w:lineRule="auto"/>
    </w:pPr>
  </w:style>
  <w:style w:type="character" w:customStyle="1" w:styleId="lrzxr">
    <w:name w:val="lrzxr"/>
    <w:basedOn w:val="Predvolenpsmoodseku"/>
    <w:rsid w:val="000E754E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C13AE"/>
    <w:rPr>
      <w:color w:val="605E5C"/>
      <w:shd w:val="clear" w:color="auto" w:fill="E1DFDD"/>
    </w:rPr>
  </w:style>
  <w:style w:type="paragraph" w:customStyle="1" w:styleId="Default">
    <w:name w:val="Default"/>
    <w:rsid w:val="00F107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basedOn w:val="Predvolenpsmoodseku"/>
    <w:uiPriority w:val="99"/>
    <w:unhideWhenUsed/>
    <w:rsid w:val="004D7FF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D7F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4D7F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D7F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D7F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D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D7FF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4D7FFC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4D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D7FFC"/>
    <w:rPr>
      <w:color w:val="0563C1" w:themeColor="hyperlink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rsid w:val="004D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51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4C1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C531C"/>
    <w:pPr>
      <w:ind w:left="720"/>
      <w:contextualSpacing/>
    </w:pPr>
  </w:style>
  <w:style w:type="paragraph" w:customStyle="1" w:styleId="xl25">
    <w:name w:val="xl25"/>
    <w:basedOn w:val="Normlny"/>
    <w:rsid w:val="00C56F33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 w:line="240" w:lineRule="auto"/>
      <w:ind w:firstLineChars="300" w:firstLine="300"/>
      <w:jc w:val="both"/>
    </w:pPr>
    <w:rPr>
      <w:rFonts w:ascii="Arial Narrow" w:eastAsia="Arial Unicode MS" w:hAnsi="Arial Narrow" w:cs="Arial"/>
      <w:sz w:val="24"/>
      <w:lang w:eastAsia="sk-SK"/>
    </w:rPr>
  </w:style>
  <w:style w:type="paragraph" w:customStyle="1" w:styleId="NTbullet">
    <w:name w:val="+NT/bullet"/>
    <w:basedOn w:val="Normlny"/>
    <w:autoRedefine/>
    <w:rsid w:val="00C56F33"/>
    <w:pPr>
      <w:widowControl w:val="0"/>
      <w:numPr>
        <w:ilvl w:val="1"/>
        <w:numId w:val="4"/>
      </w:numPr>
      <w:tabs>
        <w:tab w:val="clear" w:pos="2148"/>
      </w:tabs>
      <w:spacing w:after="120" w:line="240" w:lineRule="auto"/>
      <w:ind w:left="1440"/>
      <w:jc w:val="both"/>
    </w:pPr>
    <w:rPr>
      <w:rFonts w:ascii="Garamond" w:eastAsia="Times New Roman" w:hAnsi="Garamond" w:cs="Garamond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201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201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2010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01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0107"/>
    <w:rPr>
      <w:b/>
      <w:bCs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27E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27E77"/>
    <w:rPr>
      <w:rFonts w:ascii="Times New Roman" w:hAnsi="Times New Roman" w:cs="Times New Roman"/>
      <w:sz w:val="24"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D27E77"/>
  </w:style>
  <w:style w:type="character" w:styleId="Zvraznenie">
    <w:name w:val="Emphasis"/>
    <w:basedOn w:val="Predvolenpsmoodseku"/>
    <w:uiPriority w:val="20"/>
    <w:qFormat/>
    <w:rsid w:val="009654E2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4F40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140473"/>
    <w:pPr>
      <w:spacing w:after="0" w:line="240" w:lineRule="auto"/>
    </w:pPr>
  </w:style>
  <w:style w:type="character" w:customStyle="1" w:styleId="lrzxr">
    <w:name w:val="lrzxr"/>
    <w:basedOn w:val="Predvolenpsmoodseku"/>
    <w:rsid w:val="000E754E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C13AE"/>
    <w:rPr>
      <w:color w:val="605E5C"/>
      <w:shd w:val="clear" w:color="auto" w:fill="E1DFDD"/>
    </w:rPr>
  </w:style>
  <w:style w:type="paragraph" w:customStyle="1" w:styleId="Default">
    <w:name w:val="Default"/>
    <w:rsid w:val="00F107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tais.finance.gov.sk/studia/detail/4550c784-0fe9-6f97-ab7f-111e0da13e00?tab=basicFor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tais.finance.gov.sk/studia/detail/4550c784-0fe9-6f97-ab7f-111e0da13e00?tab=basicFor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kovania.sk/Rokovanie.aspx/BodRokovaniaDetail?idMaterial=26598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6D82-546E-436D-988D-50E7D752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3644</Words>
  <Characters>20777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24373</CharactersWithSpaces>
  <SharedDoc>false</SharedDoc>
  <HLinks>
    <vt:vector size="18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https://metais.finance.gov.sk/studia/detail/4550c784-0fe9-6f97-ab7f-111e0da13e00?tab=basicForm</vt:lpwstr>
      </vt:variant>
      <vt:variant>
        <vt:lpwstr/>
      </vt:variant>
      <vt:variant>
        <vt:i4>6881402</vt:i4>
      </vt:variant>
      <vt:variant>
        <vt:i4>0</vt:i4>
      </vt:variant>
      <vt:variant>
        <vt:i4>0</vt:i4>
      </vt:variant>
      <vt:variant>
        <vt:i4>5</vt:i4>
      </vt:variant>
      <vt:variant>
        <vt:lpwstr>https://metais.finance.gov.sk/studia/detail/4550c784-0fe9-6f97-ab7f-111e0da13e00?tab=basicForm</vt:lpwstr>
      </vt:variant>
      <vt:variant>
        <vt:lpwstr/>
      </vt:variant>
      <vt:variant>
        <vt:i4>2621553</vt:i4>
      </vt:variant>
      <vt:variant>
        <vt:i4>0</vt:i4>
      </vt:variant>
      <vt:variant>
        <vt:i4>0</vt:i4>
      </vt:variant>
      <vt:variant>
        <vt:i4>5</vt:i4>
      </vt:variant>
      <vt:variant>
        <vt:lpwstr>http://www.rokovania.sk/Rokovanie.aspx/BodRokovaniaDetail?idMaterial=26598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Juraj.Richter@sk.ey.com</dc:creator>
  <cp:keywords/>
  <dc:description/>
  <cp:lastModifiedBy>sizp_meno</cp:lastModifiedBy>
  <cp:revision>3</cp:revision>
  <cp:lastPrinted>2017-11-20T07:39:00Z</cp:lastPrinted>
  <dcterms:created xsi:type="dcterms:W3CDTF">2019-02-11T12:26:00Z</dcterms:created>
  <dcterms:modified xsi:type="dcterms:W3CDTF">2019-02-13T15:37:00Z</dcterms:modified>
</cp:coreProperties>
</file>